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6CB9" w14:textId="5B8701DA" w:rsidR="007B37E5" w:rsidRPr="005A306C" w:rsidRDefault="009F0A61" w:rsidP="00130C3C">
      <w:pPr>
        <w:spacing w:after="120" w:line="360" w:lineRule="auto"/>
        <w:jc w:val="center"/>
        <w:rPr>
          <w:b/>
          <w:sz w:val="28"/>
          <w:szCs w:val="28"/>
        </w:rPr>
      </w:pPr>
      <w:r w:rsidRPr="005A306C">
        <w:rPr>
          <w:b/>
          <w:sz w:val="28"/>
          <w:szCs w:val="28"/>
        </w:rPr>
        <w:t xml:space="preserve">A Real Options </w:t>
      </w:r>
      <w:r w:rsidR="00A83FD4" w:rsidRPr="005A306C">
        <w:rPr>
          <w:b/>
          <w:sz w:val="28"/>
          <w:szCs w:val="28"/>
        </w:rPr>
        <w:t>Approach</w:t>
      </w:r>
      <w:r w:rsidRPr="005A306C">
        <w:rPr>
          <w:b/>
          <w:sz w:val="28"/>
          <w:szCs w:val="28"/>
        </w:rPr>
        <w:t xml:space="preserve"> to </w:t>
      </w:r>
      <w:r w:rsidR="005E3976" w:rsidRPr="005A306C">
        <w:rPr>
          <w:b/>
          <w:sz w:val="28"/>
          <w:szCs w:val="28"/>
        </w:rPr>
        <w:t>g</w:t>
      </w:r>
      <w:r w:rsidRPr="005A306C">
        <w:rPr>
          <w:b/>
          <w:sz w:val="28"/>
          <w:szCs w:val="28"/>
        </w:rPr>
        <w:t xml:space="preserve">rowth </w:t>
      </w:r>
      <w:r w:rsidR="005E3976" w:rsidRPr="005A306C">
        <w:rPr>
          <w:b/>
          <w:sz w:val="28"/>
          <w:szCs w:val="28"/>
        </w:rPr>
        <w:t xml:space="preserve">opportunities </w:t>
      </w:r>
      <w:r w:rsidRPr="005A306C">
        <w:rPr>
          <w:b/>
          <w:sz w:val="28"/>
          <w:szCs w:val="28"/>
        </w:rPr>
        <w:t xml:space="preserve">and </w:t>
      </w:r>
      <w:r w:rsidR="005E3976" w:rsidRPr="005A306C">
        <w:rPr>
          <w:b/>
          <w:sz w:val="28"/>
          <w:szCs w:val="28"/>
        </w:rPr>
        <w:t>r</w:t>
      </w:r>
      <w:r w:rsidRPr="005A306C">
        <w:rPr>
          <w:b/>
          <w:sz w:val="28"/>
          <w:szCs w:val="28"/>
        </w:rPr>
        <w:t xml:space="preserve">esilience </w:t>
      </w:r>
      <w:r w:rsidR="005E3976" w:rsidRPr="005A306C">
        <w:rPr>
          <w:b/>
          <w:sz w:val="28"/>
          <w:szCs w:val="28"/>
        </w:rPr>
        <w:t>a</w:t>
      </w:r>
      <w:r w:rsidRPr="005A306C">
        <w:rPr>
          <w:b/>
          <w:sz w:val="28"/>
          <w:szCs w:val="28"/>
        </w:rPr>
        <w:t>ftermath</w:t>
      </w:r>
      <w:r w:rsidR="00C434F8" w:rsidRPr="005A306C">
        <w:rPr>
          <w:b/>
          <w:sz w:val="28"/>
          <w:szCs w:val="28"/>
        </w:rPr>
        <w:t xml:space="preserve"> </w:t>
      </w:r>
      <w:r w:rsidR="00C640C2" w:rsidRPr="005A306C">
        <w:rPr>
          <w:b/>
          <w:sz w:val="28"/>
          <w:szCs w:val="28"/>
        </w:rPr>
        <w:t xml:space="preserve">of </w:t>
      </w:r>
      <w:r w:rsidR="000401DA" w:rsidRPr="005A306C">
        <w:rPr>
          <w:b/>
          <w:sz w:val="28"/>
          <w:szCs w:val="28"/>
        </w:rPr>
        <w:t>t</w:t>
      </w:r>
      <w:r w:rsidR="00BE1A05" w:rsidRPr="005A306C">
        <w:rPr>
          <w:b/>
          <w:sz w:val="28"/>
          <w:szCs w:val="28"/>
        </w:rPr>
        <w:t xml:space="preserve">he </w:t>
      </w:r>
      <w:r w:rsidR="0066106F" w:rsidRPr="005A306C">
        <w:rPr>
          <w:b/>
          <w:sz w:val="28"/>
          <w:szCs w:val="28"/>
        </w:rPr>
        <w:t>COVID</w:t>
      </w:r>
      <w:r w:rsidR="00BE1A05" w:rsidRPr="005A306C">
        <w:rPr>
          <w:b/>
          <w:sz w:val="28"/>
          <w:szCs w:val="28"/>
        </w:rPr>
        <w:t>-19 Pandemic</w:t>
      </w:r>
    </w:p>
    <w:p w14:paraId="2C8AB86B" w14:textId="77777777" w:rsidR="008F641E" w:rsidRDefault="008F641E" w:rsidP="000E42A4">
      <w:pPr>
        <w:spacing w:after="120" w:line="360" w:lineRule="auto"/>
        <w:jc w:val="both"/>
        <w:rPr>
          <w:b/>
        </w:rPr>
      </w:pPr>
      <w:r>
        <w:rPr>
          <w:b/>
        </w:rPr>
        <w:t xml:space="preserve">Abstract </w:t>
      </w:r>
    </w:p>
    <w:p w14:paraId="60D1B816" w14:textId="52C2C5D9" w:rsidR="008F641E" w:rsidRPr="00E02074" w:rsidRDefault="008F780D" w:rsidP="000E42A4">
      <w:pPr>
        <w:spacing w:after="120" w:line="360" w:lineRule="auto"/>
        <w:jc w:val="both"/>
        <w:rPr>
          <w:bCs/>
        </w:rPr>
      </w:pPr>
      <w:r>
        <w:rPr>
          <w:b/>
        </w:rPr>
        <w:t>P</w:t>
      </w:r>
      <w:r w:rsidR="0048389A" w:rsidRPr="00640980">
        <w:rPr>
          <w:b/>
        </w:rPr>
        <w:t>urpose</w:t>
      </w:r>
      <w:r w:rsidR="00D65588">
        <w:rPr>
          <w:b/>
        </w:rPr>
        <w:t xml:space="preserve"> - </w:t>
      </w:r>
      <w:r w:rsidR="008F6BF3" w:rsidRPr="00D65588">
        <w:rPr>
          <w:bCs/>
        </w:rPr>
        <w:t>Facing</w:t>
      </w:r>
      <w:r w:rsidR="00D14CB7">
        <w:rPr>
          <w:bCs/>
        </w:rPr>
        <w:t xml:space="preserve"> </w:t>
      </w:r>
      <w:r w:rsidR="00461BED">
        <w:rPr>
          <w:bCs/>
        </w:rPr>
        <w:t>the challenge</w:t>
      </w:r>
      <w:r w:rsidR="00CC60A3">
        <w:rPr>
          <w:bCs/>
        </w:rPr>
        <w:t>s</w:t>
      </w:r>
      <w:r w:rsidR="00461BED">
        <w:rPr>
          <w:bCs/>
        </w:rPr>
        <w:t xml:space="preserve"> </w:t>
      </w:r>
      <w:r w:rsidR="00A00B5A">
        <w:rPr>
          <w:bCs/>
        </w:rPr>
        <w:t xml:space="preserve">posed </w:t>
      </w:r>
      <w:r w:rsidR="0066106F">
        <w:rPr>
          <w:bCs/>
        </w:rPr>
        <w:t>by</w:t>
      </w:r>
      <w:r w:rsidR="00A00B5A">
        <w:rPr>
          <w:bCs/>
        </w:rPr>
        <w:t xml:space="preserve"> </w:t>
      </w:r>
      <w:r w:rsidR="00D14CB7">
        <w:rPr>
          <w:bCs/>
        </w:rPr>
        <w:t xml:space="preserve">the </w:t>
      </w:r>
      <w:r w:rsidR="005209A6">
        <w:rPr>
          <w:bCs/>
        </w:rPr>
        <w:t xml:space="preserve">Pandemic </w:t>
      </w:r>
      <w:r w:rsidR="0066106F">
        <w:rPr>
          <w:bCs/>
        </w:rPr>
        <w:t>of COVID</w:t>
      </w:r>
      <w:r w:rsidR="00D14CB7">
        <w:rPr>
          <w:bCs/>
        </w:rPr>
        <w:t>-19</w:t>
      </w:r>
      <w:r w:rsidR="002752C7">
        <w:rPr>
          <w:bCs/>
        </w:rPr>
        <w:t>,</w:t>
      </w:r>
      <w:r w:rsidR="008F6BF3">
        <w:rPr>
          <w:bCs/>
        </w:rPr>
        <w:t xml:space="preserve"> this paper</w:t>
      </w:r>
      <w:r w:rsidR="008E3015">
        <w:rPr>
          <w:bCs/>
        </w:rPr>
        <w:t xml:space="preserve"> </w:t>
      </w:r>
      <w:r w:rsidR="00E02074">
        <w:rPr>
          <w:bCs/>
        </w:rPr>
        <w:t>contribute</w:t>
      </w:r>
      <w:r w:rsidR="008F6BF3">
        <w:rPr>
          <w:bCs/>
        </w:rPr>
        <w:t>s</w:t>
      </w:r>
      <w:r w:rsidR="00E02074">
        <w:rPr>
          <w:bCs/>
        </w:rPr>
        <w:t xml:space="preserve"> to </w:t>
      </w:r>
      <w:r w:rsidR="00A00B5A">
        <w:rPr>
          <w:bCs/>
        </w:rPr>
        <w:t xml:space="preserve">the </w:t>
      </w:r>
      <w:r w:rsidR="00E02074">
        <w:rPr>
          <w:bCs/>
        </w:rPr>
        <w:t>resilience</w:t>
      </w:r>
      <w:r w:rsidR="00A00B5A">
        <w:rPr>
          <w:bCs/>
        </w:rPr>
        <w:t xml:space="preserve"> of businesses</w:t>
      </w:r>
      <w:r w:rsidR="00E02074">
        <w:rPr>
          <w:bCs/>
        </w:rPr>
        <w:t xml:space="preserve"> </w:t>
      </w:r>
      <w:r w:rsidR="009A0D36">
        <w:rPr>
          <w:bCs/>
        </w:rPr>
        <w:t>through</w:t>
      </w:r>
      <w:r w:rsidR="00E02074">
        <w:rPr>
          <w:bCs/>
        </w:rPr>
        <w:t xml:space="preserve"> </w:t>
      </w:r>
      <w:r w:rsidR="00C448FC">
        <w:rPr>
          <w:bCs/>
        </w:rPr>
        <w:t xml:space="preserve">the development </w:t>
      </w:r>
      <w:r w:rsidR="00A00B5A">
        <w:rPr>
          <w:bCs/>
        </w:rPr>
        <w:t xml:space="preserve">of </w:t>
      </w:r>
      <w:r w:rsidR="009A0D36">
        <w:rPr>
          <w:bCs/>
        </w:rPr>
        <w:t xml:space="preserve">a </w:t>
      </w:r>
      <w:r w:rsidR="00D14CB7">
        <w:rPr>
          <w:bCs/>
        </w:rPr>
        <w:t>Real Option</w:t>
      </w:r>
      <w:r w:rsidR="009A0D36">
        <w:rPr>
          <w:bCs/>
        </w:rPr>
        <w:t>s</w:t>
      </w:r>
      <w:r w:rsidR="00D14CB7">
        <w:rPr>
          <w:bCs/>
        </w:rPr>
        <w:t xml:space="preserve"> Approach (ROA)</w:t>
      </w:r>
      <w:r w:rsidR="00130C3C">
        <w:rPr>
          <w:bCs/>
        </w:rPr>
        <w:t xml:space="preserve"> that </w:t>
      </w:r>
      <w:r w:rsidR="00D14CB7">
        <w:rPr>
          <w:bCs/>
        </w:rPr>
        <w:t>provide</w:t>
      </w:r>
      <w:r w:rsidR="00132BDC">
        <w:rPr>
          <w:bCs/>
        </w:rPr>
        <w:t>s</w:t>
      </w:r>
      <w:r w:rsidR="00D14CB7">
        <w:rPr>
          <w:bCs/>
        </w:rPr>
        <w:t xml:space="preserve"> alternative</w:t>
      </w:r>
      <w:r w:rsidR="00130C3C">
        <w:rPr>
          <w:bCs/>
        </w:rPr>
        <w:t>s</w:t>
      </w:r>
      <w:r w:rsidR="00D14CB7">
        <w:rPr>
          <w:bCs/>
        </w:rPr>
        <w:t xml:space="preserve"> </w:t>
      </w:r>
      <w:r w:rsidR="00130C3C">
        <w:rPr>
          <w:bCs/>
        </w:rPr>
        <w:t xml:space="preserve">and opportunities </w:t>
      </w:r>
      <w:r w:rsidR="00D14CB7" w:rsidRPr="0048389A">
        <w:rPr>
          <w:bCs/>
        </w:rPr>
        <w:t xml:space="preserve">for </w:t>
      </w:r>
      <w:r w:rsidR="00CC60A3">
        <w:rPr>
          <w:bCs/>
        </w:rPr>
        <w:t xml:space="preserve">a </w:t>
      </w:r>
      <w:r w:rsidR="00D14CB7">
        <w:rPr>
          <w:bCs/>
        </w:rPr>
        <w:t>D</w:t>
      </w:r>
      <w:r w:rsidR="00D14CB7" w:rsidRPr="0048389A">
        <w:rPr>
          <w:bCs/>
        </w:rPr>
        <w:t>ecision</w:t>
      </w:r>
      <w:r w:rsidR="00D14CB7">
        <w:rPr>
          <w:bCs/>
        </w:rPr>
        <w:t xml:space="preserve"> Process (DP) under </w:t>
      </w:r>
      <w:r w:rsidR="00D14CB7" w:rsidRPr="0048389A">
        <w:rPr>
          <w:bCs/>
        </w:rPr>
        <w:t xml:space="preserve">situations </w:t>
      </w:r>
      <w:r w:rsidR="00D14CB7">
        <w:rPr>
          <w:bCs/>
        </w:rPr>
        <w:t xml:space="preserve">when future events and outcomes are unknown and not capable of being known </w:t>
      </w:r>
      <w:r w:rsidR="00A00B5A">
        <w:rPr>
          <w:bCs/>
        </w:rPr>
        <w:t xml:space="preserve">from current </w:t>
      </w:r>
      <w:r w:rsidR="00D14CB7">
        <w:rPr>
          <w:bCs/>
        </w:rPr>
        <w:t>information</w:t>
      </w:r>
      <w:r w:rsidR="00D14CB7" w:rsidRPr="0048389A">
        <w:rPr>
          <w:bCs/>
        </w:rPr>
        <w:t>.</w:t>
      </w:r>
      <w:r w:rsidR="00D14CB7">
        <w:rPr>
          <w:bCs/>
        </w:rPr>
        <w:t xml:space="preserve"> </w:t>
      </w:r>
    </w:p>
    <w:p w14:paraId="68900E50" w14:textId="7EEB193A" w:rsidR="00D358AD" w:rsidRDefault="008F780D" w:rsidP="000E42A4">
      <w:pPr>
        <w:spacing w:after="120" w:line="360" w:lineRule="auto"/>
        <w:jc w:val="both"/>
        <w:rPr>
          <w:bCs/>
        </w:rPr>
      </w:pPr>
      <w:r>
        <w:rPr>
          <w:b/>
          <w:bCs/>
        </w:rPr>
        <w:t>M</w:t>
      </w:r>
      <w:r w:rsidR="00D655B0" w:rsidRPr="00925A2C">
        <w:rPr>
          <w:b/>
          <w:bCs/>
        </w:rPr>
        <w:t>ethod</w:t>
      </w:r>
      <w:r w:rsidR="00D65588">
        <w:rPr>
          <w:b/>
          <w:bCs/>
        </w:rPr>
        <w:t xml:space="preserve"> - </w:t>
      </w:r>
      <w:r w:rsidR="000818C7" w:rsidRPr="00D65588">
        <w:t>This paper</w:t>
      </w:r>
      <w:r w:rsidR="000818C7">
        <w:rPr>
          <w:b/>
          <w:bCs/>
        </w:rPr>
        <w:t xml:space="preserve"> </w:t>
      </w:r>
      <w:r w:rsidR="00D811A1">
        <w:t>involve</w:t>
      </w:r>
      <w:r w:rsidR="000818C7">
        <w:t>s</w:t>
      </w:r>
      <w:r w:rsidR="00A00B5A">
        <w:t xml:space="preserve"> a</w:t>
      </w:r>
      <w:r w:rsidR="007641FF">
        <w:t xml:space="preserve"> </w:t>
      </w:r>
      <w:r w:rsidR="000D5469" w:rsidRPr="0048389A">
        <w:rPr>
          <w:bCs/>
        </w:rPr>
        <w:t xml:space="preserve">stochastic </w:t>
      </w:r>
      <w:r w:rsidR="0077027B">
        <w:rPr>
          <w:bCs/>
        </w:rPr>
        <w:t>modelling</w:t>
      </w:r>
      <w:r w:rsidR="002F3F8B" w:rsidRPr="002F3F8B">
        <w:rPr>
          <w:bCs/>
        </w:rPr>
        <w:t xml:space="preserve"> </w:t>
      </w:r>
      <w:r w:rsidR="00A00B5A">
        <w:rPr>
          <w:bCs/>
        </w:rPr>
        <w:t xml:space="preserve">process </w:t>
      </w:r>
      <w:r w:rsidR="006F1E41">
        <w:rPr>
          <w:bCs/>
        </w:rPr>
        <w:t>in generating</w:t>
      </w:r>
      <w:r w:rsidR="002F3F8B">
        <w:rPr>
          <w:bCs/>
        </w:rPr>
        <w:t xml:space="preserve"> a set of </w:t>
      </w:r>
      <w:r w:rsidR="006F1E41">
        <w:rPr>
          <w:bCs/>
        </w:rPr>
        <w:t>absolute</w:t>
      </w:r>
      <w:r w:rsidR="00A00B5A">
        <w:rPr>
          <w:bCs/>
        </w:rPr>
        <w:t xml:space="preserve"> </w:t>
      </w:r>
      <w:r w:rsidR="002F3F8B">
        <w:rPr>
          <w:bCs/>
        </w:rPr>
        <w:t>option values</w:t>
      </w:r>
      <w:r w:rsidR="00A65A31">
        <w:rPr>
          <w:bCs/>
        </w:rPr>
        <w:t>,</w:t>
      </w:r>
      <w:r w:rsidR="00A65A31" w:rsidRPr="00A65A31">
        <w:rPr>
          <w:bCs/>
        </w:rPr>
        <w:t xml:space="preserve"> </w:t>
      </w:r>
      <w:r w:rsidR="00A65A31">
        <w:rPr>
          <w:bCs/>
        </w:rPr>
        <w:t>utili</w:t>
      </w:r>
      <w:r w:rsidR="006F1E41">
        <w:rPr>
          <w:bCs/>
        </w:rPr>
        <w:t>s</w:t>
      </w:r>
      <w:r w:rsidR="00A65A31">
        <w:rPr>
          <w:bCs/>
        </w:rPr>
        <w:t xml:space="preserve">ing </w:t>
      </w:r>
      <w:r w:rsidR="00A65A31">
        <w:t xml:space="preserve">available </w:t>
      </w:r>
      <w:r w:rsidR="00A65A31">
        <w:rPr>
          <w:bCs/>
        </w:rPr>
        <w:t>data and</w:t>
      </w:r>
      <w:r w:rsidR="00B2523F">
        <w:rPr>
          <w:bCs/>
        </w:rPr>
        <w:t xml:space="preserve"> </w:t>
      </w:r>
      <w:r w:rsidR="002F3F8B">
        <w:rPr>
          <w:bCs/>
        </w:rPr>
        <w:t>scenarios</w:t>
      </w:r>
      <w:r w:rsidR="00CE1551">
        <w:t xml:space="preserve"> </w:t>
      </w:r>
      <w:r w:rsidR="00A00B5A">
        <w:t xml:space="preserve">from </w:t>
      </w:r>
      <w:r w:rsidR="00CE1551">
        <w:rPr>
          <w:bCs/>
        </w:rPr>
        <w:t xml:space="preserve">the </w:t>
      </w:r>
      <w:r w:rsidR="0066106F">
        <w:rPr>
          <w:bCs/>
        </w:rPr>
        <w:t>COVID</w:t>
      </w:r>
      <w:r w:rsidR="00CE1551" w:rsidRPr="0048389A">
        <w:rPr>
          <w:bCs/>
        </w:rPr>
        <w:t>-</w:t>
      </w:r>
      <w:r w:rsidR="00CE1551" w:rsidRPr="0075694A">
        <w:t xml:space="preserve"> </w:t>
      </w:r>
      <w:r w:rsidR="00CE1551" w:rsidRPr="0048389A">
        <w:rPr>
          <w:bCs/>
        </w:rPr>
        <w:t>19 pandemic</w:t>
      </w:r>
      <w:r w:rsidR="00A65A31">
        <w:rPr>
          <w:bCs/>
        </w:rPr>
        <w:t xml:space="preserve"> event</w:t>
      </w:r>
      <w:r w:rsidR="00B2523F">
        <w:rPr>
          <w:bCs/>
        </w:rPr>
        <w:t>.</w:t>
      </w:r>
      <w:r w:rsidR="00CE1551">
        <w:rPr>
          <w:bCs/>
        </w:rPr>
        <w:t xml:space="preserve"> </w:t>
      </w:r>
      <w:r w:rsidR="00B2523F">
        <w:rPr>
          <w:bCs/>
        </w:rPr>
        <w:t>T</w:t>
      </w:r>
      <w:r w:rsidR="008E3015">
        <w:rPr>
          <w:bCs/>
        </w:rPr>
        <w:t xml:space="preserve">he </w:t>
      </w:r>
      <w:r w:rsidR="002752C7">
        <w:rPr>
          <w:bCs/>
        </w:rPr>
        <w:t xml:space="preserve">modelling and simulations using ROA </w:t>
      </w:r>
      <w:r w:rsidR="0018101B">
        <w:rPr>
          <w:bCs/>
        </w:rPr>
        <w:t xml:space="preserve">suggest how </w:t>
      </w:r>
      <w:r w:rsidR="0018101B" w:rsidRPr="0048389A">
        <w:rPr>
          <w:bCs/>
        </w:rPr>
        <w:t>strateg</w:t>
      </w:r>
      <w:r w:rsidR="0018101B">
        <w:rPr>
          <w:bCs/>
        </w:rPr>
        <w:t xml:space="preserve">ic </w:t>
      </w:r>
      <w:r w:rsidR="0018101B" w:rsidRPr="0048389A">
        <w:rPr>
          <w:bCs/>
        </w:rPr>
        <w:t>portfolio</w:t>
      </w:r>
      <w:r w:rsidR="0018101B">
        <w:rPr>
          <w:bCs/>
        </w:rPr>
        <w:t>s re</w:t>
      </w:r>
      <w:r w:rsidR="0018101B" w:rsidRPr="0048389A">
        <w:rPr>
          <w:bCs/>
        </w:rPr>
        <w:t xml:space="preserve">solve the </w:t>
      </w:r>
      <w:r w:rsidR="00C448FC">
        <w:rPr>
          <w:bCs/>
        </w:rPr>
        <w:t>growing</w:t>
      </w:r>
      <w:r w:rsidR="00C448FC" w:rsidRPr="000665A8">
        <w:rPr>
          <w:bCs/>
        </w:rPr>
        <w:t xml:space="preserve"> </w:t>
      </w:r>
      <w:r w:rsidR="0018101B" w:rsidRPr="0048389A">
        <w:rPr>
          <w:bCs/>
        </w:rPr>
        <w:t>problem</w:t>
      </w:r>
      <w:r w:rsidR="00A65A31">
        <w:rPr>
          <w:bCs/>
        </w:rPr>
        <w:t xml:space="preserve"> </w:t>
      </w:r>
      <w:r w:rsidR="008E3015">
        <w:rPr>
          <w:bCs/>
        </w:rPr>
        <w:t>during</w:t>
      </w:r>
      <w:r w:rsidR="00A65A31">
        <w:rPr>
          <w:bCs/>
        </w:rPr>
        <w:t xml:space="preserve"> </w:t>
      </w:r>
      <w:r w:rsidR="00034247">
        <w:rPr>
          <w:bCs/>
        </w:rPr>
        <w:t xml:space="preserve">the </w:t>
      </w:r>
      <w:r w:rsidR="00A65A31">
        <w:rPr>
          <w:bCs/>
        </w:rPr>
        <w:t>endemic</w:t>
      </w:r>
      <w:r w:rsidR="008E3015">
        <w:rPr>
          <w:bCs/>
        </w:rPr>
        <w:t xml:space="preserve"> </w:t>
      </w:r>
      <w:r w:rsidR="00034247">
        <w:rPr>
          <w:bCs/>
        </w:rPr>
        <w:t>to</w:t>
      </w:r>
      <w:r w:rsidR="00A65A31">
        <w:rPr>
          <w:bCs/>
        </w:rPr>
        <w:t xml:space="preserve"> all but </w:t>
      </w:r>
      <w:r w:rsidR="00034247">
        <w:rPr>
          <w:bCs/>
        </w:rPr>
        <w:t xml:space="preserve">in </w:t>
      </w:r>
      <w:r w:rsidR="00A65A31">
        <w:rPr>
          <w:bCs/>
        </w:rPr>
        <w:t>the most isolated societies</w:t>
      </w:r>
      <w:r w:rsidR="00B72653">
        <w:rPr>
          <w:bCs/>
        </w:rPr>
        <w:t>.</w:t>
      </w:r>
      <w:r w:rsidR="00465725" w:rsidRPr="00465725">
        <w:rPr>
          <w:bCs/>
        </w:rPr>
        <w:t xml:space="preserve"> </w:t>
      </w:r>
    </w:p>
    <w:p w14:paraId="79820999" w14:textId="72B174D5" w:rsidR="006D6896" w:rsidRPr="00800701" w:rsidRDefault="00AA56FB" w:rsidP="000E42A4">
      <w:pPr>
        <w:spacing w:after="120" w:line="360" w:lineRule="auto"/>
        <w:jc w:val="both"/>
        <w:rPr>
          <w:bCs/>
        </w:rPr>
      </w:pPr>
      <w:r w:rsidRPr="00925A2C">
        <w:rPr>
          <w:b/>
        </w:rPr>
        <w:t>Findings</w:t>
      </w:r>
      <w:r w:rsidR="00D65588">
        <w:rPr>
          <w:b/>
        </w:rPr>
        <w:t xml:space="preserve"> -</w:t>
      </w:r>
      <w:r w:rsidR="00640980">
        <w:rPr>
          <w:b/>
        </w:rPr>
        <w:t xml:space="preserve"> </w:t>
      </w:r>
      <w:r w:rsidR="000818C7" w:rsidRPr="00D65588">
        <w:rPr>
          <w:bCs/>
        </w:rPr>
        <w:t>W</w:t>
      </w:r>
      <w:r w:rsidR="00B2523F" w:rsidRPr="00D65588">
        <w:rPr>
          <w:bCs/>
        </w:rPr>
        <w:t xml:space="preserve">e </w:t>
      </w:r>
      <w:r w:rsidR="000818C7" w:rsidRPr="00D65588">
        <w:rPr>
          <w:bCs/>
        </w:rPr>
        <w:t>find</w:t>
      </w:r>
      <w:r w:rsidR="000818C7">
        <w:rPr>
          <w:b/>
        </w:rPr>
        <w:t xml:space="preserve"> </w:t>
      </w:r>
      <w:r w:rsidR="008B3D4A">
        <w:rPr>
          <w:bCs/>
        </w:rPr>
        <w:t>t</w:t>
      </w:r>
      <w:r w:rsidR="00524F91">
        <w:rPr>
          <w:bCs/>
        </w:rPr>
        <w:t>he</w:t>
      </w:r>
      <w:r w:rsidR="001655B9">
        <w:rPr>
          <w:bCs/>
        </w:rPr>
        <w:t xml:space="preserve"> </w:t>
      </w:r>
      <w:r w:rsidR="00A00B5A">
        <w:rPr>
          <w:bCs/>
        </w:rPr>
        <w:t>emerg</w:t>
      </w:r>
      <w:r w:rsidR="00034247">
        <w:rPr>
          <w:bCs/>
        </w:rPr>
        <w:t xml:space="preserve">ent </w:t>
      </w:r>
      <w:r w:rsidR="006A4167">
        <w:rPr>
          <w:bCs/>
        </w:rPr>
        <w:t>correlation</w:t>
      </w:r>
      <w:r w:rsidR="001F160C">
        <w:rPr>
          <w:bCs/>
        </w:rPr>
        <w:t xml:space="preserve"> </w:t>
      </w:r>
      <w:r w:rsidR="006413C5">
        <w:rPr>
          <w:bCs/>
        </w:rPr>
        <w:t xml:space="preserve">between </w:t>
      </w:r>
      <w:r w:rsidR="006E7C67">
        <w:rPr>
          <w:bCs/>
        </w:rPr>
        <w:t>c</w:t>
      </w:r>
      <w:r w:rsidR="006E7C67" w:rsidRPr="006E7C67">
        <w:rPr>
          <w:bCs/>
        </w:rPr>
        <w:t xml:space="preserve">ircuit </w:t>
      </w:r>
      <w:r w:rsidR="006E7C67">
        <w:rPr>
          <w:bCs/>
        </w:rPr>
        <w:t>b</w:t>
      </w:r>
      <w:r w:rsidR="006E7C67" w:rsidRPr="006E7C67">
        <w:rPr>
          <w:bCs/>
        </w:rPr>
        <w:t xml:space="preserve">reakers and </w:t>
      </w:r>
      <w:r w:rsidR="006E7C67">
        <w:rPr>
          <w:bCs/>
        </w:rPr>
        <w:t>l</w:t>
      </w:r>
      <w:r w:rsidR="006E7C67" w:rsidRPr="006E7C67">
        <w:rPr>
          <w:bCs/>
        </w:rPr>
        <w:t>ockdown</w:t>
      </w:r>
      <w:r w:rsidR="00A00B5A">
        <w:rPr>
          <w:bCs/>
        </w:rPr>
        <w:t>s</w:t>
      </w:r>
      <w:r w:rsidR="001B71F9">
        <w:rPr>
          <w:bCs/>
        </w:rPr>
        <w:t>, which</w:t>
      </w:r>
      <w:r w:rsidR="006E7C67">
        <w:rPr>
          <w:bCs/>
        </w:rPr>
        <w:t xml:space="preserve"> </w:t>
      </w:r>
      <w:r w:rsidR="004F2436">
        <w:rPr>
          <w:bCs/>
        </w:rPr>
        <w:t>have</w:t>
      </w:r>
      <w:r w:rsidR="00380767">
        <w:rPr>
          <w:bCs/>
        </w:rPr>
        <w:t xml:space="preserve"> </w:t>
      </w:r>
      <w:r w:rsidR="004F2436">
        <w:rPr>
          <w:bCs/>
        </w:rPr>
        <w:t xml:space="preserve">brought </w:t>
      </w:r>
      <w:r w:rsidR="00A00B5A">
        <w:rPr>
          <w:bCs/>
        </w:rPr>
        <w:t>abo</w:t>
      </w:r>
      <w:r w:rsidR="004F2436">
        <w:rPr>
          <w:bCs/>
        </w:rPr>
        <w:t>ut</w:t>
      </w:r>
      <w:r w:rsidR="001655B9">
        <w:rPr>
          <w:bCs/>
        </w:rPr>
        <w:t xml:space="preserve"> </w:t>
      </w:r>
      <w:r w:rsidR="00A00B5A">
        <w:rPr>
          <w:bCs/>
        </w:rPr>
        <w:t xml:space="preserve">a </w:t>
      </w:r>
      <w:r w:rsidR="004F2436">
        <w:rPr>
          <w:bCs/>
        </w:rPr>
        <w:t>‘</w:t>
      </w:r>
      <w:r w:rsidR="001655B9">
        <w:rPr>
          <w:bCs/>
        </w:rPr>
        <w:t>distorted gravity’</w:t>
      </w:r>
      <w:r w:rsidR="00A00B5A">
        <w:rPr>
          <w:bCs/>
        </w:rPr>
        <w:t xml:space="preserve"> effect</w:t>
      </w:r>
      <w:r w:rsidR="001655B9">
        <w:rPr>
          <w:bCs/>
        </w:rPr>
        <w:t xml:space="preserve"> (</w:t>
      </w:r>
      <w:r w:rsidR="007421B9">
        <w:rPr>
          <w:bCs/>
        </w:rPr>
        <w:t>inverse growth of</w:t>
      </w:r>
      <w:r w:rsidR="004F2436">
        <w:rPr>
          <w:bCs/>
        </w:rPr>
        <w:t xml:space="preserve"> </w:t>
      </w:r>
      <w:r w:rsidR="001655B9">
        <w:rPr>
          <w:bCs/>
        </w:rPr>
        <w:t>global business</w:t>
      </w:r>
      <w:r w:rsidR="00DD5487">
        <w:rPr>
          <w:bCs/>
        </w:rPr>
        <w:t>es</w:t>
      </w:r>
      <w:r w:rsidR="001655B9">
        <w:rPr>
          <w:bCs/>
        </w:rPr>
        <w:t xml:space="preserve"> and trades)</w:t>
      </w:r>
      <w:r w:rsidR="00E249DA">
        <w:rPr>
          <w:bCs/>
        </w:rPr>
        <w:t>. However,</w:t>
      </w:r>
      <w:r w:rsidR="00034247">
        <w:rPr>
          <w:bCs/>
        </w:rPr>
        <w:t xml:space="preserve"> </w:t>
      </w:r>
      <w:r w:rsidR="00773B4C">
        <w:rPr>
          <w:bCs/>
        </w:rPr>
        <w:t xml:space="preserve">‘time-to-build’ </w:t>
      </w:r>
      <w:r w:rsidR="001B71F9">
        <w:rPr>
          <w:bCs/>
        </w:rPr>
        <w:t xml:space="preserve">real options </w:t>
      </w:r>
      <w:r w:rsidR="00773B4C">
        <w:rPr>
          <w:bCs/>
        </w:rPr>
        <w:t>(</w:t>
      </w:r>
      <w:r w:rsidR="006413C5">
        <w:rPr>
          <w:bCs/>
        </w:rPr>
        <w:t>i.e.,</w:t>
      </w:r>
      <w:r w:rsidR="00A61E08">
        <w:rPr>
          <w:bCs/>
        </w:rPr>
        <w:t xml:space="preserve"> </w:t>
      </w:r>
      <w:r w:rsidR="00773B4C">
        <w:rPr>
          <w:bCs/>
        </w:rPr>
        <w:t xml:space="preserve">deferral, expand, switch, </w:t>
      </w:r>
      <w:r w:rsidR="00DD5361">
        <w:rPr>
          <w:bCs/>
        </w:rPr>
        <w:t xml:space="preserve">and </w:t>
      </w:r>
      <w:r w:rsidR="00773B4C">
        <w:rPr>
          <w:bCs/>
        </w:rPr>
        <w:t>compound</w:t>
      </w:r>
      <w:r w:rsidR="00DD5361">
        <w:rPr>
          <w:bCs/>
        </w:rPr>
        <w:t xml:space="preserve"> </w:t>
      </w:r>
      <w:r w:rsidR="00773B4C">
        <w:rPr>
          <w:bCs/>
        </w:rPr>
        <w:t>exchange)</w:t>
      </w:r>
      <w:r w:rsidR="00A00B5A">
        <w:rPr>
          <w:bCs/>
        </w:rPr>
        <w:t xml:space="preserve"> </w:t>
      </w:r>
      <w:r w:rsidR="0050159E">
        <w:rPr>
          <w:bCs/>
        </w:rPr>
        <w:t xml:space="preserve">start to </w:t>
      </w:r>
      <w:r w:rsidR="00DD5361">
        <w:rPr>
          <w:bCs/>
        </w:rPr>
        <w:t xml:space="preserve">function </w:t>
      </w:r>
      <w:r w:rsidR="004A5143">
        <w:rPr>
          <w:bCs/>
        </w:rPr>
        <w:t>in</w:t>
      </w:r>
      <w:r w:rsidR="00A00B5A">
        <w:rPr>
          <w:bCs/>
        </w:rPr>
        <w:t xml:space="preserve"> the </w:t>
      </w:r>
      <w:r w:rsidR="006D6896">
        <w:rPr>
          <w:bCs/>
        </w:rPr>
        <w:t>adaptive</w:t>
      </w:r>
      <w:r w:rsidR="00034247">
        <w:rPr>
          <w:bCs/>
        </w:rPr>
        <w:t>-</w:t>
      </w:r>
      <w:r w:rsidR="006D6896">
        <w:rPr>
          <w:bCs/>
        </w:rPr>
        <w:t>transformative</w:t>
      </w:r>
      <w:r w:rsidR="00773B4C">
        <w:rPr>
          <w:bCs/>
        </w:rPr>
        <w:t xml:space="preserve"> capabilities </w:t>
      </w:r>
      <w:r w:rsidR="00034247">
        <w:rPr>
          <w:bCs/>
        </w:rPr>
        <w:t xml:space="preserve">for growth opportunities </w:t>
      </w:r>
      <w:r w:rsidR="00EA08C9">
        <w:rPr>
          <w:bCs/>
        </w:rPr>
        <w:t xml:space="preserve">of </w:t>
      </w:r>
      <w:r w:rsidR="00773B4C">
        <w:rPr>
          <w:bCs/>
        </w:rPr>
        <w:t>both government and corporate sectors</w:t>
      </w:r>
      <w:r w:rsidR="0097506A">
        <w:rPr>
          <w:bCs/>
        </w:rPr>
        <w:t>.</w:t>
      </w:r>
      <w:r w:rsidR="00072724">
        <w:rPr>
          <w:bCs/>
        </w:rPr>
        <w:t xml:space="preserve"> </w:t>
      </w:r>
      <w:r w:rsidR="000818C7">
        <w:rPr>
          <w:bCs/>
        </w:rPr>
        <w:t xml:space="preserve">Significantly, </w:t>
      </w:r>
      <w:r w:rsidR="00EA08C9">
        <w:rPr>
          <w:bCs/>
        </w:rPr>
        <w:t xml:space="preserve">some sectors grow </w:t>
      </w:r>
      <w:r w:rsidR="00773B4C">
        <w:rPr>
          <w:bCs/>
        </w:rPr>
        <w:t xml:space="preserve">faster than </w:t>
      </w:r>
      <w:r w:rsidR="00EA08C9">
        <w:rPr>
          <w:bCs/>
        </w:rPr>
        <w:t>others</w:t>
      </w:r>
      <w:r w:rsidR="00034247">
        <w:rPr>
          <w:bCs/>
        </w:rPr>
        <w:t xml:space="preserve"> while </w:t>
      </w:r>
      <w:r w:rsidR="00072724">
        <w:rPr>
          <w:bCs/>
        </w:rPr>
        <w:t xml:space="preserve">the compound exchange </w:t>
      </w:r>
      <w:r w:rsidR="00EE7ECA">
        <w:rPr>
          <w:bCs/>
        </w:rPr>
        <w:t>remain</w:t>
      </w:r>
      <w:r w:rsidR="00F77A70">
        <w:rPr>
          <w:bCs/>
        </w:rPr>
        <w:t>s</w:t>
      </w:r>
      <w:r w:rsidR="00EE7ECA">
        <w:rPr>
          <w:bCs/>
        </w:rPr>
        <w:t xml:space="preserve"> </w:t>
      </w:r>
      <w:r w:rsidR="006F1E41">
        <w:rPr>
          <w:bCs/>
        </w:rPr>
        <w:t>primari</w:t>
      </w:r>
      <w:r w:rsidR="0050159E">
        <w:rPr>
          <w:bCs/>
        </w:rPr>
        <w:t>ly</w:t>
      </w:r>
      <w:r w:rsidR="00777AD0">
        <w:rPr>
          <w:bCs/>
        </w:rPr>
        <w:t xml:space="preserve"> </w:t>
      </w:r>
      <w:r w:rsidR="00EE7ECA">
        <w:rPr>
          <w:bCs/>
        </w:rPr>
        <w:t>challeng</w:t>
      </w:r>
      <w:r w:rsidR="00A00B5A">
        <w:rPr>
          <w:bCs/>
        </w:rPr>
        <w:t>ing</w:t>
      </w:r>
      <w:r w:rsidR="006F1E41">
        <w:rPr>
          <w:bCs/>
        </w:rPr>
        <w:t xml:space="preserve">. </w:t>
      </w:r>
      <w:r w:rsidR="00FA742D">
        <w:rPr>
          <w:bCs/>
        </w:rPr>
        <w:t>C</w:t>
      </w:r>
      <w:r w:rsidR="00DC07D3">
        <w:rPr>
          <w:bCs/>
        </w:rPr>
        <w:t>learly</w:t>
      </w:r>
      <w:r w:rsidR="006F1E41">
        <w:rPr>
          <w:bCs/>
        </w:rPr>
        <w:t>, the government and corporate sectors are entangled</w:t>
      </w:r>
      <w:r w:rsidR="00DC07D3">
        <w:rPr>
          <w:bCs/>
        </w:rPr>
        <w:t>, inevitably</w:t>
      </w:r>
      <w:r w:rsidR="00923B7B">
        <w:rPr>
          <w:bCs/>
        </w:rPr>
        <w:t>,</w:t>
      </w:r>
      <w:r w:rsidR="006F1E41">
        <w:rPr>
          <w:bCs/>
        </w:rPr>
        <w:t xml:space="preserve"> the decoherence allows for the former to change uncertainty in the latter</w:t>
      </w:r>
      <w:r w:rsidR="00923B7B">
        <w:rPr>
          <w:bCs/>
        </w:rPr>
        <w:t xml:space="preserve">; </w:t>
      </w:r>
      <w:r w:rsidR="00DC07D3">
        <w:rPr>
          <w:bCs/>
        </w:rPr>
        <w:t>t</w:t>
      </w:r>
      <w:r w:rsidR="006D6896">
        <w:t>herefore</w:t>
      </w:r>
      <w:r w:rsidR="00A00B5A">
        <w:t>,</w:t>
      </w:r>
      <w:r w:rsidR="006D6896">
        <w:t xml:space="preserve"> </w:t>
      </w:r>
      <w:r w:rsidR="00EA08C9">
        <w:t>government sector option</w:t>
      </w:r>
      <w:r w:rsidR="00103CF3">
        <w:t>s</w:t>
      </w:r>
      <w:r w:rsidR="00EA08C9">
        <w:t xml:space="preserve"> </w:t>
      </w:r>
      <w:r w:rsidR="006D6896">
        <w:t xml:space="preserve">change </w:t>
      </w:r>
      <w:r w:rsidR="006D6896" w:rsidRPr="00800701">
        <w:t>option value</w:t>
      </w:r>
      <w:r w:rsidR="00A00B5A">
        <w:t>s</w:t>
      </w:r>
      <w:r w:rsidR="006D6896" w:rsidRPr="00800701">
        <w:t xml:space="preserve"> </w:t>
      </w:r>
      <w:r w:rsidR="00A00B5A">
        <w:t xml:space="preserve">in the </w:t>
      </w:r>
      <w:r w:rsidR="006D6896" w:rsidRPr="00800701">
        <w:t>corporate sector. </w:t>
      </w:r>
    </w:p>
    <w:p w14:paraId="0CB71A10" w14:textId="32B9B1D2" w:rsidR="00AA56FB" w:rsidRDefault="00AA56FB" w:rsidP="000E42A4">
      <w:pPr>
        <w:spacing w:after="120" w:line="360" w:lineRule="auto"/>
        <w:jc w:val="both"/>
        <w:rPr>
          <w:bCs/>
          <w:i/>
          <w:iCs/>
          <w:u w:val="single"/>
        </w:rPr>
      </w:pPr>
      <w:r w:rsidRPr="00925A2C">
        <w:rPr>
          <w:b/>
        </w:rPr>
        <w:t>Or</w:t>
      </w:r>
      <w:r w:rsidR="009E177B" w:rsidRPr="00925A2C">
        <w:rPr>
          <w:b/>
        </w:rPr>
        <w:t>i</w:t>
      </w:r>
      <w:r w:rsidRPr="00925A2C">
        <w:rPr>
          <w:b/>
        </w:rPr>
        <w:t>ginality</w:t>
      </w:r>
      <w:r w:rsidR="00925A2C" w:rsidRPr="00925A2C">
        <w:rPr>
          <w:b/>
        </w:rPr>
        <w:t>/</w:t>
      </w:r>
      <w:r w:rsidR="009E177B" w:rsidRPr="00925A2C">
        <w:rPr>
          <w:b/>
        </w:rPr>
        <w:t>values</w:t>
      </w:r>
      <w:r w:rsidR="00EC6F12">
        <w:rPr>
          <w:b/>
        </w:rPr>
        <w:t xml:space="preserve"> -</w:t>
      </w:r>
      <w:r w:rsidR="000818C7">
        <w:rPr>
          <w:b/>
        </w:rPr>
        <w:t xml:space="preserve"> </w:t>
      </w:r>
      <w:r w:rsidR="00E249DA" w:rsidRPr="00EC6F12">
        <w:rPr>
          <w:bCs/>
        </w:rPr>
        <w:t>The</w:t>
      </w:r>
      <w:r w:rsidR="00E249DA">
        <w:rPr>
          <w:b/>
        </w:rPr>
        <w:t xml:space="preserve"> </w:t>
      </w:r>
      <w:r w:rsidR="00DD5361">
        <w:t>ROA</w:t>
      </w:r>
      <w:r w:rsidR="00DC0172">
        <w:t xml:space="preserve"> </w:t>
      </w:r>
      <w:r w:rsidR="00D83C78">
        <w:t xml:space="preserve">by empirically </w:t>
      </w:r>
      <w:r w:rsidR="00C37192">
        <w:t>focu</w:t>
      </w:r>
      <w:r w:rsidR="00D83C78">
        <w:t>sing</w:t>
      </w:r>
      <w:r w:rsidR="00C37192">
        <w:t xml:space="preserve"> on both </w:t>
      </w:r>
      <w:r w:rsidR="00DD5361">
        <w:t>government and corporate sector</w:t>
      </w:r>
      <w:r w:rsidR="001909D5">
        <w:t>s</w:t>
      </w:r>
      <w:r w:rsidR="00C37192">
        <w:t xml:space="preserve"> demonstrate</w:t>
      </w:r>
      <w:r w:rsidR="00D83C78">
        <w:t xml:space="preserve">s </w:t>
      </w:r>
      <w:r w:rsidR="00DD5361">
        <w:t>under conditions of uncertainty</w:t>
      </w:r>
      <w:r w:rsidR="00C37192">
        <w:t xml:space="preserve"> how </w:t>
      </w:r>
      <w:r w:rsidR="001B71F9">
        <w:t xml:space="preserve">options in decision making </w:t>
      </w:r>
      <w:r w:rsidR="00DD5361">
        <w:t>generate opportunities</w:t>
      </w:r>
      <w:r w:rsidR="00E249DA">
        <w:t xml:space="preserve"> that </w:t>
      </w:r>
      <w:r w:rsidR="002A4A84" w:rsidRPr="00FD2CA7">
        <w:t xml:space="preserve">hitherto </w:t>
      </w:r>
      <w:r w:rsidR="00E249DA">
        <w:t>have</w:t>
      </w:r>
      <w:r w:rsidR="00BE752B">
        <w:t xml:space="preserve"> </w:t>
      </w:r>
      <w:r w:rsidR="00524F91" w:rsidRPr="00FD2CA7">
        <w:t xml:space="preserve">not been </w:t>
      </w:r>
      <w:r w:rsidR="005D0E54">
        <w:t xml:space="preserve">recognised and </w:t>
      </w:r>
      <w:r w:rsidR="00BE752B">
        <w:t xml:space="preserve">exercised </w:t>
      </w:r>
      <w:r w:rsidR="00F76B4F">
        <w:t>up</w:t>
      </w:r>
      <w:r w:rsidR="005D0E54">
        <w:t xml:space="preserve">on </w:t>
      </w:r>
      <w:r w:rsidR="00524F91" w:rsidRPr="00FD2CA7">
        <w:t>by research in the immediate contex</w:t>
      </w:r>
      <w:r w:rsidR="00B3383B">
        <w:t>t of</w:t>
      </w:r>
      <w:r w:rsidR="00524F91" w:rsidRPr="00FD2CA7">
        <w:t xml:space="preserve"> the </w:t>
      </w:r>
      <w:r w:rsidR="0066106F">
        <w:t>COVID</w:t>
      </w:r>
      <w:r w:rsidR="00524F91" w:rsidRPr="00FD2CA7">
        <w:t xml:space="preserve">-19 </w:t>
      </w:r>
      <w:r w:rsidR="005209A6">
        <w:t>P</w:t>
      </w:r>
      <w:r w:rsidR="005209A6" w:rsidRPr="00FD2CA7">
        <w:t>andemic</w:t>
      </w:r>
      <w:r w:rsidR="001655B9">
        <w:t>.</w:t>
      </w:r>
      <w:r w:rsidR="00846CFA">
        <w:t xml:space="preserve"> </w:t>
      </w:r>
      <w:r w:rsidR="00CD296C">
        <w:t xml:space="preserve">Importantly, </w:t>
      </w:r>
      <w:r w:rsidR="00A30486">
        <w:t>the ROA</w:t>
      </w:r>
      <w:r w:rsidR="00A00B5A">
        <w:t xml:space="preserve"> </w:t>
      </w:r>
      <w:r w:rsidR="006F2D4C">
        <w:t>provide</w:t>
      </w:r>
      <w:r w:rsidR="00A30486">
        <w:t>s</w:t>
      </w:r>
      <w:r w:rsidR="006F2D4C">
        <w:t xml:space="preserve"> </w:t>
      </w:r>
      <w:r w:rsidR="00A00B5A">
        <w:t xml:space="preserve">an </w:t>
      </w:r>
      <w:r w:rsidR="006F2D4C">
        <w:t>insightful concatenat</w:t>
      </w:r>
      <w:r w:rsidR="00B3383B">
        <w:t>ion (capability</w:t>
      </w:r>
      <w:r w:rsidR="008474EA">
        <w:t xml:space="preserve"> </w:t>
      </w:r>
      <w:r w:rsidR="005D0E54">
        <w:t>–</w:t>
      </w:r>
      <w:r w:rsidR="00A00B5A">
        <w:t xml:space="preserve"> </w:t>
      </w:r>
      <w:r w:rsidR="005D0E54">
        <w:t xml:space="preserve">behaviour </w:t>
      </w:r>
      <w:r w:rsidR="00B3383B">
        <w:t>approach)</w:t>
      </w:r>
      <w:r w:rsidR="00B96C2B">
        <w:t xml:space="preserve"> </w:t>
      </w:r>
      <w:r w:rsidR="00A00B5A">
        <w:t xml:space="preserve">that </w:t>
      </w:r>
      <w:r w:rsidR="00846CFA">
        <w:t>driv</w:t>
      </w:r>
      <w:r w:rsidR="00A00B5A">
        <w:t>es</w:t>
      </w:r>
      <w:r w:rsidR="00846CFA">
        <w:t xml:space="preserve"> resilience.</w:t>
      </w:r>
    </w:p>
    <w:p w14:paraId="3A8D2EB7" w14:textId="77777777" w:rsidR="00C91F2F" w:rsidRDefault="00C448FC" w:rsidP="000E42A4">
      <w:pPr>
        <w:spacing w:after="120" w:line="360" w:lineRule="auto"/>
        <w:jc w:val="both"/>
        <w:rPr>
          <w:bCs/>
        </w:rPr>
      </w:pPr>
      <w:r>
        <w:rPr>
          <w:b/>
        </w:rPr>
        <w:t>Keywords</w:t>
      </w:r>
      <w:r w:rsidR="00925A2C" w:rsidRPr="00925A2C">
        <w:rPr>
          <w:bCs/>
        </w:rPr>
        <w:t xml:space="preserve"> Pandemic, Real options, Dynamic capabilit</w:t>
      </w:r>
      <w:r w:rsidR="003E279B">
        <w:rPr>
          <w:bCs/>
        </w:rPr>
        <w:t>ies</w:t>
      </w:r>
      <w:r w:rsidR="00925A2C" w:rsidRPr="00925A2C">
        <w:rPr>
          <w:bCs/>
        </w:rPr>
        <w:t xml:space="preserve">, </w:t>
      </w:r>
      <w:r w:rsidR="00F76B4F">
        <w:rPr>
          <w:bCs/>
        </w:rPr>
        <w:t xml:space="preserve">Growth opportunity, </w:t>
      </w:r>
      <w:r w:rsidR="00925A2C" w:rsidRPr="00925A2C">
        <w:rPr>
          <w:bCs/>
        </w:rPr>
        <w:t xml:space="preserve">Resilience </w:t>
      </w:r>
    </w:p>
    <w:p w14:paraId="676F8571" w14:textId="34ACB545" w:rsidR="00EC51EC" w:rsidRPr="003D2E4E" w:rsidRDefault="00C91F2F" w:rsidP="000E42A4">
      <w:pPr>
        <w:spacing w:after="120" w:line="360" w:lineRule="auto"/>
        <w:jc w:val="both"/>
        <w:rPr>
          <w:bCs/>
        </w:rPr>
      </w:pPr>
      <w:r w:rsidRPr="00C91F2F">
        <w:rPr>
          <w:b/>
        </w:rPr>
        <w:t>Paper type</w:t>
      </w:r>
      <w:r>
        <w:rPr>
          <w:bCs/>
        </w:rPr>
        <w:t xml:space="preserve"> Research paper</w:t>
      </w:r>
      <w:r w:rsidR="00EC51EC">
        <w:rPr>
          <w:b/>
        </w:rPr>
        <w:br w:type="page"/>
      </w:r>
    </w:p>
    <w:p w14:paraId="59BADC4C" w14:textId="77777777" w:rsidR="00A677ED" w:rsidRDefault="00085B7D" w:rsidP="00A677ED">
      <w:pPr>
        <w:spacing w:after="120" w:line="480" w:lineRule="auto"/>
        <w:rPr>
          <w:color w:val="000000" w:themeColor="text1"/>
        </w:rPr>
      </w:pPr>
      <w:r w:rsidRPr="008D5236">
        <w:rPr>
          <w:b/>
        </w:rPr>
        <w:lastRenderedPageBreak/>
        <w:t>Introduction</w:t>
      </w:r>
      <w:r w:rsidR="00A04836" w:rsidRPr="008D5236">
        <w:rPr>
          <w:b/>
        </w:rPr>
        <w:t xml:space="preserve"> and motivation</w:t>
      </w:r>
    </w:p>
    <w:p w14:paraId="2B004881" w14:textId="4047A58C" w:rsidR="004A1628" w:rsidRDefault="00A00B5A" w:rsidP="00D44EBD">
      <w:pPr>
        <w:spacing w:after="120" w:line="480" w:lineRule="auto"/>
        <w:jc w:val="both"/>
        <w:rPr>
          <w:color w:val="000000" w:themeColor="text1"/>
        </w:rPr>
      </w:pPr>
      <w:r>
        <w:rPr>
          <w:color w:val="000000" w:themeColor="text1"/>
        </w:rPr>
        <w:t>B</w:t>
      </w:r>
      <w:r w:rsidR="006D670E" w:rsidRPr="00FD2CA7">
        <w:rPr>
          <w:color w:val="000000" w:themeColor="text1"/>
        </w:rPr>
        <w:t xml:space="preserve">usiness and </w:t>
      </w:r>
      <w:r>
        <w:rPr>
          <w:color w:val="000000" w:themeColor="text1"/>
        </w:rPr>
        <w:t xml:space="preserve">social </w:t>
      </w:r>
      <w:r w:rsidR="006D670E" w:rsidRPr="00FD2CA7">
        <w:rPr>
          <w:color w:val="000000" w:themeColor="text1"/>
        </w:rPr>
        <w:t>environment</w:t>
      </w:r>
      <w:r w:rsidR="00AA67FE">
        <w:rPr>
          <w:color w:val="000000" w:themeColor="text1"/>
        </w:rPr>
        <w:t xml:space="preserve">s are in a state of </w:t>
      </w:r>
      <w:r w:rsidR="00641042">
        <w:rPr>
          <w:color w:val="000000" w:themeColor="text1"/>
        </w:rPr>
        <w:t>cons</w:t>
      </w:r>
      <w:r>
        <w:rPr>
          <w:color w:val="000000" w:themeColor="text1"/>
        </w:rPr>
        <w:t xml:space="preserve">iderable </w:t>
      </w:r>
      <w:r w:rsidR="00AA67FE">
        <w:rPr>
          <w:color w:val="000000" w:themeColor="text1"/>
        </w:rPr>
        <w:t>flux</w:t>
      </w:r>
      <w:r w:rsidR="00184385">
        <w:rPr>
          <w:color w:val="000000" w:themeColor="text1"/>
        </w:rPr>
        <w:t xml:space="preserve"> where </w:t>
      </w:r>
      <w:r w:rsidR="00641042" w:rsidRPr="00641042">
        <w:rPr>
          <w:color w:val="000000" w:themeColor="text1"/>
        </w:rPr>
        <w:t>“</w:t>
      </w:r>
      <w:r w:rsidR="00641042">
        <w:rPr>
          <w:color w:val="000000" w:themeColor="text1"/>
        </w:rPr>
        <w:t>u</w:t>
      </w:r>
      <w:r w:rsidR="00641042" w:rsidRPr="00641042">
        <w:rPr>
          <w:color w:val="000000" w:themeColor="text1"/>
        </w:rPr>
        <w:t>ncertainty is the only certainty</w:t>
      </w:r>
      <w:r w:rsidR="00763857">
        <w:rPr>
          <w:color w:val="000000" w:themeColor="text1"/>
        </w:rPr>
        <w:t>,</w:t>
      </w:r>
      <w:r w:rsidR="00641042" w:rsidRPr="00641042">
        <w:rPr>
          <w:color w:val="000000" w:themeColor="text1"/>
        </w:rPr>
        <w:t xml:space="preserve"> there is</w:t>
      </w:r>
      <w:r w:rsidR="00F76B4F">
        <w:rPr>
          <w:color w:val="000000" w:themeColor="text1"/>
        </w:rPr>
        <w:t>,</w:t>
      </w:r>
      <w:r w:rsidR="00641042" w:rsidRPr="00641042">
        <w:rPr>
          <w:color w:val="000000" w:themeColor="text1"/>
        </w:rPr>
        <w:t xml:space="preserve"> and knowing how to live with insecurity is the only security.” </w:t>
      </w:r>
      <w:r w:rsidR="00641042">
        <w:rPr>
          <w:color w:val="000000" w:themeColor="text1"/>
        </w:rPr>
        <w:t xml:space="preserve"> </w:t>
      </w:r>
      <w:r w:rsidR="00641042" w:rsidRPr="00641042">
        <w:rPr>
          <w:color w:val="000000" w:themeColor="text1"/>
        </w:rPr>
        <w:t xml:space="preserve">(John Allen </w:t>
      </w:r>
      <w:proofErr w:type="spellStart"/>
      <w:r w:rsidR="00641042" w:rsidRPr="00641042">
        <w:rPr>
          <w:color w:val="000000" w:themeColor="text1"/>
        </w:rPr>
        <w:t>Paulos</w:t>
      </w:r>
      <w:proofErr w:type="spellEnd"/>
      <w:r w:rsidR="00641042" w:rsidRPr="00641042">
        <w:rPr>
          <w:color w:val="000000" w:themeColor="text1"/>
        </w:rPr>
        <w:t xml:space="preserve">, cited in </w:t>
      </w:r>
      <w:proofErr w:type="spellStart"/>
      <w:r w:rsidR="00641042" w:rsidRPr="00641042">
        <w:rPr>
          <w:color w:val="000000" w:themeColor="text1"/>
        </w:rPr>
        <w:t>Harikae</w:t>
      </w:r>
      <w:proofErr w:type="spellEnd"/>
      <w:r w:rsidR="00641042" w:rsidRPr="00641042">
        <w:rPr>
          <w:color w:val="000000" w:themeColor="text1"/>
        </w:rPr>
        <w:t xml:space="preserve"> </w:t>
      </w:r>
      <w:r w:rsidR="00641042" w:rsidRPr="00865ED4">
        <w:rPr>
          <w:i/>
          <w:iCs/>
          <w:color w:val="000000" w:themeColor="text1"/>
        </w:rPr>
        <w:t>et al</w:t>
      </w:r>
      <w:r w:rsidR="00641042" w:rsidRPr="00641042">
        <w:rPr>
          <w:color w:val="000000" w:themeColor="text1"/>
        </w:rPr>
        <w:t>., 2020 p.1)</w:t>
      </w:r>
      <w:r w:rsidR="00641042">
        <w:rPr>
          <w:color w:val="000000" w:themeColor="text1"/>
        </w:rPr>
        <w:t>.</w:t>
      </w:r>
      <w:r w:rsidR="00AA67FE">
        <w:rPr>
          <w:color w:val="000000" w:themeColor="text1"/>
        </w:rPr>
        <w:t xml:space="preserve"> </w:t>
      </w:r>
      <w:r w:rsidR="00C549B7">
        <w:rPr>
          <w:color w:val="000000" w:themeColor="text1"/>
        </w:rPr>
        <w:t>T</w:t>
      </w:r>
      <w:r w:rsidR="0094605B">
        <w:rPr>
          <w:color w:val="000000" w:themeColor="text1"/>
        </w:rPr>
        <w:t xml:space="preserve">he </w:t>
      </w:r>
      <w:r w:rsidR="0066106F">
        <w:rPr>
          <w:color w:val="000000" w:themeColor="text1"/>
        </w:rPr>
        <w:t>COVID</w:t>
      </w:r>
      <w:r w:rsidR="0094605B">
        <w:rPr>
          <w:color w:val="000000" w:themeColor="text1"/>
        </w:rPr>
        <w:t xml:space="preserve">-19 </w:t>
      </w:r>
      <w:r w:rsidR="005209A6">
        <w:rPr>
          <w:color w:val="000000" w:themeColor="text1"/>
        </w:rPr>
        <w:t xml:space="preserve">Pandemic </w:t>
      </w:r>
      <w:r>
        <w:rPr>
          <w:color w:val="000000" w:themeColor="text1"/>
        </w:rPr>
        <w:t xml:space="preserve">has confronted human societies with </w:t>
      </w:r>
      <w:r w:rsidR="00C448FC">
        <w:rPr>
          <w:color w:val="000000" w:themeColor="text1"/>
        </w:rPr>
        <w:t>far-reaching</w:t>
      </w:r>
      <w:r>
        <w:rPr>
          <w:color w:val="000000" w:themeColor="text1"/>
        </w:rPr>
        <w:t xml:space="preserve"> </w:t>
      </w:r>
      <w:r w:rsidR="00C549B7">
        <w:rPr>
          <w:color w:val="000000" w:themeColor="text1"/>
        </w:rPr>
        <w:t xml:space="preserve">challenges </w:t>
      </w:r>
      <w:r>
        <w:rPr>
          <w:color w:val="000000" w:themeColor="text1"/>
        </w:rPr>
        <w:t xml:space="preserve">and has </w:t>
      </w:r>
      <w:r w:rsidR="002726DF">
        <w:rPr>
          <w:color w:val="000000" w:themeColor="text1"/>
        </w:rPr>
        <w:t xml:space="preserve">persistently </w:t>
      </w:r>
      <w:r w:rsidR="006D670E" w:rsidRPr="00FD2CA7">
        <w:rPr>
          <w:color w:val="000000" w:themeColor="text1"/>
        </w:rPr>
        <w:t>inspire</w:t>
      </w:r>
      <w:r>
        <w:rPr>
          <w:color w:val="000000" w:themeColor="text1"/>
        </w:rPr>
        <w:t>d</w:t>
      </w:r>
      <w:r w:rsidR="006D670E" w:rsidRPr="00FD2CA7">
        <w:rPr>
          <w:color w:val="000000" w:themeColor="text1"/>
        </w:rPr>
        <w:t xml:space="preserve"> </w:t>
      </w:r>
      <w:r w:rsidR="00A27D0D">
        <w:rPr>
          <w:color w:val="000000" w:themeColor="text1"/>
        </w:rPr>
        <w:t>scholars,</w:t>
      </w:r>
      <w:r w:rsidR="00A837DD">
        <w:rPr>
          <w:color w:val="000000" w:themeColor="text1"/>
        </w:rPr>
        <w:t xml:space="preserve"> governments, </w:t>
      </w:r>
      <w:r w:rsidR="00A27D0D">
        <w:rPr>
          <w:color w:val="000000" w:themeColor="text1"/>
        </w:rPr>
        <w:t>practitioners</w:t>
      </w:r>
      <w:r w:rsidR="006456D6">
        <w:rPr>
          <w:color w:val="000000" w:themeColor="text1"/>
        </w:rPr>
        <w:t>, and others</w:t>
      </w:r>
      <w:r w:rsidR="006D670E" w:rsidRPr="00FD2CA7">
        <w:rPr>
          <w:color w:val="000000" w:themeColor="text1"/>
        </w:rPr>
        <w:t xml:space="preserve"> </w:t>
      </w:r>
      <w:r>
        <w:rPr>
          <w:color w:val="000000" w:themeColor="text1"/>
        </w:rPr>
        <w:t xml:space="preserve">by drawing </w:t>
      </w:r>
      <w:r w:rsidR="006D670E" w:rsidRPr="00FD2CA7">
        <w:rPr>
          <w:color w:val="000000" w:themeColor="text1"/>
        </w:rPr>
        <w:t xml:space="preserve">on </w:t>
      </w:r>
      <w:r w:rsidR="000461C0">
        <w:rPr>
          <w:color w:val="000000" w:themeColor="text1"/>
        </w:rPr>
        <w:t>the</w:t>
      </w:r>
      <w:r>
        <w:rPr>
          <w:color w:val="000000" w:themeColor="text1"/>
        </w:rPr>
        <w:t>ir</w:t>
      </w:r>
      <w:r w:rsidR="000461C0">
        <w:rPr>
          <w:color w:val="000000" w:themeColor="text1"/>
        </w:rPr>
        <w:t xml:space="preserve"> remarkable </w:t>
      </w:r>
      <w:r w:rsidR="006D670E" w:rsidRPr="00FD2CA7">
        <w:rPr>
          <w:color w:val="000000"/>
        </w:rPr>
        <w:t>adaptive capa</w:t>
      </w:r>
      <w:r w:rsidR="00AA67FE">
        <w:rPr>
          <w:color w:val="000000"/>
        </w:rPr>
        <w:t>cities</w:t>
      </w:r>
      <w:r w:rsidR="0094605B" w:rsidRPr="0094605B">
        <w:rPr>
          <w:color w:val="000000"/>
        </w:rPr>
        <w:t xml:space="preserve"> </w:t>
      </w:r>
      <w:r w:rsidR="006413C5">
        <w:rPr>
          <w:color w:val="000000" w:themeColor="text1"/>
        </w:rPr>
        <w:t xml:space="preserve">toward </w:t>
      </w:r>
      <w:r>
        <w:rPr>
          <w:color w:val="000000" w:themeColor="text1"/>
        </w:rPr>
        <w:t xml:space="preserve">the complexity of contemporary decision </w:t>
      </w:r>
      <w:r w:rsidR="006413C5">
        <w:rPr>
          <w:color w:val="000000" w:themeColor="text1"/>
        </w:rPr>
        <w:t>problems</w:t>
      </w:r>
      <w:r w:rsidR="00A04836">
        <w:rPr>
          <w:color w:val="000000" w:themeColor="text1"/>
        </w:rPr>
        <w:t xml:space="preserve">. </w:t>
      </w:r>
      <w:r w:rsidR="00870EB6">
        <w:rPr>
          <w:color w:val="000000" w:themeColor="text1"/>
        </w:rPr>
        <w:t xml:space="preserve">Research has taken persistent challenges from </w:t>
      </w:r>
      <w:r w:rsidR="006D670E" w:rsidRPr="00FD2CA7">
        <w:rPr>
          <w:color w:val="000000" w:themeColor="text1"/>
        </w:rPr>
        <w:t xml:space="preserve">how </w:t>
      </w:r>
      <w:r w:rsidR="00C76F06">
        <w:rPr>
          <w:color w:val="000000" w:themeColor="text1"/>
        </w:rPr>
        <w:t xml:space="preserve">human </w:t>
      </w:r>
      <w:r w:rsidR="006D670E" w:rsidRPr="00FD2CA7">
        <w:rPr>
          <w:color w:val="000000" w:themeColor="text1"/>
        </w:rPr>
        <w:t>adaptation</w:t>
      </w:r>
      <w:r w:rsidR="00C76F06">
        <w:rPr>
          <w:color w:val="000000" w:themeColor="text1"/>
        </w:rPr>
        <w:t>s improve the capacity for creating, forging, preserving</w:t>
      </w:r>
      <w:r w:rsidR="00F90058">
        <w:rPr>
          <w:color w:val="000000" w:themeColor="text1"/>
        </w:rPr>
        <w:t>,</w:t>
      </w:r>
      <w:r w:rsidR="00C76F06">
        <w:rPr>
          <w:color w:val="000000" w:themeColor="text1"/>
        </w:rPr>
        <w:t xml:space="preserve"> and modifying </w:t>
      </w:r>
      <w:r w:rsidR="00561764">
        <w:rPr>
          <w:color w:val="000000" w:themeColor="text1"/>
        </w:rPr>
        <w:t>connections between variant organisational activities</w:t>
      </w:r>
      <w:r w:rsidR="00870EB6">
        <w:rPr>
          <w:color w:val="000000" w:themeColor="text1"/>
        </w:rPr>
        <w:t>,</w:t>
      </w:r>
      <w:r w:rsidR="00F90058">
        <w:rPr>
          <w:color w:val="000000" w:themeColor="text1"/>
        </w:rPr>
        <w:t xml:space="preserve"> </w:t>
      </w:r>
      <w:r w:rsidR="00870EB6">
        <w:rPr>
          <w:color w:val="000000" w:themeColor="text1"/>
        </w:rPr>
        <w:t xml:space="preserve">thus, increasing </w:t>
      </w:r>
      <w:r w:rsidR="00870EB6" w:rsidRPr="00FD2CA7">
        <w:rPr>
          <w:color w:val="000000" w:themeColor="text1"/>
        </w:rPr>
        <w:t>organi</w:t>
      </w:r>
      <w:r w:rsidR="00870EB6">
        <w:rPr>
          <w:color w:val="000000" w:themeColor="text1"/>
        </w:rPr>
        <w:t>s</w:t>
      </w:r>
      <w:r w:rsidR="00870EB6" w:rsidRPr="00FD2CA7">
        <w:rPr>
          <w:color w:val="000000" w:themeColor="text1"/>
        </w:rPr>
        <w:t xml:space="preserve">ational populations </w:t>
      </w:r>
      <w:r w:rsidR="00870EB6">
        <w:rPr>
          <w:color w:val="000000" w:themeColor="text1"/>
        </w:rPr>
        <w:t xml:space="preserve">through our </w:t>
      </w:r>
      <w:r w:rsidR="006413C5">
        <w:rPr>
          <w:color w:val="000000" w:themeColor="text1"/>
        </w:rPr>
        <w:t xml:space="preserve">knowledge </w:t>
      </w:r>
      <w:r w:rsidR="00870EB6">
        <w:rPr>
          <w:color w:val="000000" w:themeColor="text1"/>
        </w:rPr>
        <w:t>of how they</w:t>
      </w:r>
      <w:r w:rsidR="00870EB6" w:rsidRPr="00FD2CA7">
        <w:rPr>
          <w:color w:val="000000" w:themeColor="text1"/>
        </w:rPr>
        <w:t xml:space="preserve"> </w:t>
      </w:r>
      <w:r w:rsidR="00870EB6">
        <w:rPr>
          <w:color w:val="000000" w:themeColor="text1"/>
        </w:rPr>
        <w:t>evolve</w:t>
      </w:r>
      <w:r w:rsidR="00870EB6" w:rsidRPr="00FD2CA7">
        <w:rPr>
          <w:color w:val="000000" w:themeColor="text1"/>
        </w:rPr>
        <w:t xml:space="preserve"> </w:t>
      </w:r>
      <w:r w:rsidR="006D670E" w:rsidRPr="00FD2CA7">
        <w:rPr>
          <w:color w:val="000000" w:themeColor="text1"/>
        </w:rPr>
        <w:t>(</w:t>
      </w:r>
      <w:r w:rsidR="005F6C29" w:rsidRPr="005F6C29">
        <w:t xml:space="preserve">Augier </w:t>
      </w:r>
      <w:r w:rsidR="00D91A31">
        <w:t>and</w:t>
      </w:r>
      <w:r w:rsidR="005F6C29" w:rsidRPr="005F6C29">
        <w:t xml:space="preserve"> Teece, 2009;</w:t>
      </w:r>
      <w:r w:rsidR="005F6C29" w:rsidRPr="005F6C29">
        <w:rPr>
          <w:color w:val="000000" w:themeColor="text1"/>
        </w:rPr>
        <w:t xml:space="preserve"> </w:t>
      </w:r>
      <w:r w:rsidR="006456D6">
        <w:rPr>
          <w:color w:val="000000" w:themeColor="text1"/>
        </w:rPr>
        <w:t xml:space="preserve">Li and </w:t>
      </w:r>
      <w:r w:rsidR="006D670E" w:rsidRPr="005F6C29">
        <w:rPr>
          <w:bCs/>
          <w:iCs/>
        </w:rPr>
        <w:t xml:space="preserve">Van den Steen, </w:t>
      </w:r>
      <w:r w:rsidR="006456D6">
        <w:rPr>
          <w:bCs/>
          <w:iCs/>
        </w:rPr>
        <w:t xml:space="preserve">2021; </w:t>
      </w:r>
      <w:proofErr w:type="spellStart"/>
      <w:r w:rsidR="006456D6" w:rsidRPr="005F6C29">
        <w:rPr>
          <w:color w:val="000000" w:themeColor="text1"/>
        </w:rPr>
        <w:t>Peysakhovich</w:t>
      </w:r>
      <w:proofErr w:type="spellEnd"/>
      <w:r w:rsidR="006456D6" w:rsidRPr="005F6C29">
        <w:rPr>
          <w:color w:val="000000" w:themeColor="text1"/>
        </w:rPr>
        <w:t xml:space="preserve"> </w:t>
      </w:r>
      <w:r w:rsidR="00CA0FE5">
        <w:rPr>
          <w:color w:val="000000" w:themeColor="text1"/>
        </w:rPr>
        <w:t>and</w:t>
      </w:r>
      <w:r w:rsidR="006456D6" w:rsidRPr="005F6C29">
        <w:rPr>
          <w:color w:val="000000" w:themeColor="text1"/>
        </w:rPr>
        <w:t xml:space="preserve"> Rand, 2016; </w:t>
      </w:r>
      <w:r w:rsidR="006456D6">
        <w:rPr>
          <w:bCs/>
          <w:iCs/>
        </w:rPr>
        <w:t>Van</w:t>
      </w:r>
      <w:r w:rsidR="009A0D36">
        <w:rPr>
          <w:bCs/>
          <w:iCs/>
        </w:rPr>
        <w:t xml:space="preserve"> </w:t>
      </w:r>
      <w:r w:rsidR="006456D6">
        <w:rPr>
          <w:bCs/>
          <w:iCs/>
        </w:rPr>
        <w:t xml:space="preserve">den Steen, </w:t>
      </w:r>
      <w:r w:rsidR="006D670E" w:rsidRPr="005F6C29">
        <w:rPr>
          <w:bCs/>
          <w:iCs/>
        </w:rPr>
        <w:t>20</w:t>
      </w:r>
      <w:r w:rsidR="006D670E" w:rsidRPr="00FD2CA7">
        <w:rPr>
          <w:bCs/>
          <w:iCs/>
        </w:rPr>
        <w:t>19</w:t>
      </w:r>
      <w:r w:rsidR="006D670E" w:rsidRPr="00FD2CA7">
        <w:rPr>
          <w:color w:val="000000" w:themeColor="text1"/>
        </w:rPr>
        <w:t xml:space="preserve">). </w:t>
      </w:r>
      <w:r w:rsidR="00EC72C2">
        <w:rPr>
          <w:color w:val="000000" w:themeColor="text1"/>
        </w:rPr>
        <w:t>Research has adopted the s</w:t>
      </w:r>
      <w:r w:rsidR="00DB5B07">
        <w:rPr>
          <w:color w:val="000000" w:themeColor="text1"/>
        </w:rPr>
        <w:t xml:space="preserve">tochastic process </w:t>
      </w:r>
      <w:r w:rsidR="00EC72C2">
        <w:rPr>
          <w:color w:val="000000" w:themeColor="text1"/>
        </w:rPr>
        <w:t>in seeking</w:t>
      </w:r>
      <w:r w:rsidR="00B46221" w:rsidRPr="00B46221">
        <w:rPr>
          <w:color w:val="000000" w:themeColor="text1"/>
        </w:rPr>
        <w:t xml:space="preserve"> </w:t>
      </w:r>
      <w:r w:rsidR="00B46221" w:rsidRPr="00FD2CA7">
        <w:rPr>
          <w:color w:val="000000" w:themeColor="text1"/>
        </w:rPr>
        <w:t>explana</w:t>
      </w:r>
      <w:r w:rsidR="00B46221">
        <w:rPr>
          <w:color w:val="000000" w:themeColor="text1"/>
        </w:rPr>
        <w:t>tions</w:t>
      </w:r>
      <w:r w:rsidR="00EC72C2">
        <w:rPr>
          <w:color w:val="000000" w:themeColor="text1"/>
        </w:rPr>
        <w:t xml:space="preserve">, </w:t>
      </w:r>
      <w:r w:rsidR="00B46221">
        <w:rPr>
          <w:color w:val="000000" w:themeColor="text1"/>
        </w:rPr>
        <w:t xml:space="preserve">modelling </w:t>
      </w:r>
      <w:r w:rsidR="00DB5B07">
        <w:rPr>
          <w:color w:val="000000" w:themeColor="text1"/>
        </w:rPr>
        <w:t>uncertainty</w:t>
      </w:r>
      <w:r w:rsidR="00B46221">
        <w:rPr>
          <w:color w:val="000000" w:themeColor="text1"/>
        </w:rPr>
        <w:t>,</w:t>
      </w:r>
      <w:r w:rsidR="00DB5B07">
        <w:rPr>
          <w:color w:val="000000" w:themeColor="text1"/>
        </w:rPr>
        <w:t xml:space="preserve"> </w:t>
      </w:r>
      <w:r w:rsidR="006413C5">
        <w:rPr>
          <w:color w:val="000000" w:themeColor="text1"/>
        </w:rPr>
        <w:t xml:space="preserve">and </w:t>
      </w:r>
      <w:r w:rsidR="00B46221">
        <w:rPr>
          <w:color w:val="000000" w:themeColor="text1"/>
        </w:rPr>
        <w:t>inspiring</w:t>
      </w:r>
      <w:r w:rsidR="00B46221" w:rsidRPr="00B46221">
        <w:rPr>
          <w:color w:val="000000" w:themeColor="text1"/>
        </w:rPr>
        <w:t xml:space="preserve"> </w:t>
      </w:r>
      <w:r w:rsidR="00B46221">
        <w:rPr>
          <w:color w:val="000000" w:themeColor="text1"/>
        </w:rPr>
        <w:t xml:space="preserve">solutions for </w:t>
      </w:r>
      <w:r w:rsidR="00DB5B07">
        <w:rPr>
          <w:color w:val="000000" w:themeColor="text1"/>
        </w:rPr>
        <w:t xml:space="preserve">economic </w:t>
      </w:r>
      <w:r w:rsidR="00DB5B07" w:rsidRPr="00FD2CA7">
        <w:rPr>
          <w:color w:val="000000" w:themeColor="text1"/>
        </w:rPr>
        <w:t>organi</w:t>
      </w:r>
      <w:r w:rsidR="00DB5B07">
        <w:rPr>
          <w:color w:val="000000" w:themeColor="text1"/>
        </w:rPr>
        <w:t>s</w:t>
      </w:r>
      <w:r w:rsidR="00DB5B07" w:rsidRPr="00FD2CA7">
        <w:rPr>
          <w:color w:val="000000" w:themeColor="text1"/>
        </w:rPr>
        <w:t xml:space="preserve">ation </w:t>
      </w:r>
      <w:r w:rsidR="00DB5B07">
        <w:rPr>
          <w:color w:val="000000" w:themeColor="text1"/>
        </w:rPr>
        <w:t>(</w:t>
      </w:r>
      <w:proofErr w:type="spellStart"/>
      <w:r w:rsidR="00DB5B07">
        <w:t>Burggraef</w:t>
      </w:r>
      <w:proofErr w:type="spellEnd"/>
      <w:r w:rsidR="00DB5B07" w:rsidDel="00531471">
        <w:rPr>
          <w:color w:val="000000" w:themeColor="text1"/>
        </w:rPr>
        <w:t xml:space="preserve"> </w:t>
      </w:r>
      <w:r w:rsidR="00DB5B07" w:rsidRPr="003D7A29">
        <w:rPr>
          <w:i/>
          <w:iCs/>
          <w:color w:val="000000" w:themeColor="text1"/>
        </w:rPr>
        <w:t>et al</w:t>
      </w:r>
      <w:r w:rsidR="00DB5B07">
        <w:rPr>
          <w:color w:val="000000" w:themeColor="text1"/>
        </w:rPr>
        <w:t xml:space="preserve">. 2018; </w:t>
      </w:r>
      <w:r w:rsidR="00DB5B07" w:rsidRPr="00E11432">
        <w:rPr>
          <w:bCs/>
          <w:iCs/>
          <w:color w:val="000000" w:themeColor="text1"/>
        </w:rPr>
        <w:t xml:space="preserve">Dixit </w:t>
      </w:r>
      <w:r w:rsidR="00DB5B07">
        <w:rPr>
          <w:bCs/>
          <w:iCs/>
          <w:color w:val="000000" w:themeColor="text1"/>
        </w:rPr>
        <w:t xml:space="preserve">and </w:t>
      </w:r>
      <w:proofErr w:type="spellStart"/>
      <w:r w:rsidR="00DB5B07" w:rsidRPr="00E11432">
        <w:rPr>
          <w:bCs/>
          <w:iCs/>
          <w:color w:val="000000" w:themeColor="text1"/>
        </w:rPr>
        <w:t>Pindyck</w:t>
      </w:r>
      <w:proofErr w:type="spellEnd"/>
      <w:r w:rsidR="00DB5B07" w:rsidRPr="00E11432">
        <w:rPr>
          <w:bCs/>
          <w:iCs/>
          <w:color w:val="000000" w:themeColor="text1"/>
        </w:rPr>
        <w:t xml:space="preserve">, 1994; </w:t>
      </w:r>
      <w:proofErr w:type="spellStart"/>
      <w:r w:rsidR="00DB5B07">
        <w:rPr>
          <w:bCs/>
          <w:iCs/>
          <w:color w:val="000000" w:themeColor="text1"/>
        </w:rPr>
        <w:t>K</w:t>
      </w:r>
      <w:r w:rsidR="00DB5B07" w:rsidRPr="00AC219C">
        <w:rPr>
          <w:bCs/>
          <w:iCs/>
          <w:color w:val="000000" w:themeColor="text1"/>
        </w:rPr>
        <w:t>ogut</w:t>
      </w:r>
      <w:proofErr w:type="spellEnd"/>
      <w:r w:rsidR="00DB5B07" w:rsidRPr="00AC219C">
        <w:rPr>
          <w:bCs/>
          <w:iCs/>
          <w:color w:val="000000" w:themeColor="text1"/>
        </w:rPr>
        <w:t xml:space="preserve"> </w:t>
      </w:r>
      <w:r w:rsidR="00DB5B07">
        <w:rPr>
          <w:bCs/>
          <w:iCs/>
          <w:color w:val="000000" w:themeColor="text1"/>
        </w:rPr>
        <w:t>and</w:t>
      </w:r>
      <w:r w:rsidR="00DB5B07" w:rsidRPr="00AC219C">
        <w:rPr>
          <w:bCs/>
          <w:iCs/>
          <w:color w:val="000000" w:themeColor="text1"/>
        </w:rPr>
        <w:t xml:space="preserve"> </w:t>
      </w:r>
      <w:proofErr w:type="spellStart"/>
      <w:r w:rsidR="00DB5B07" w:rsidRPr="00AC219C">
        <w:rPr>
          <w:bCs/>
          <w:iCs/>
          <w:color w:val="000000" w:themeColor="text1"/>
        </w:rPr>
        <w:t>Kulatilaka</w:t>
      </w:r>
      <w:proofErr w:type="spellEnd"/>
      <w:r w:rsidR="00DB5B07" w:rsidRPr="00AC219C">
        <w:rPr>
          <w:bCs/>
          <w:iCs/>
          <w:color w:val="000000" w:themeColor="text1"/>
        </w:rPr>
        <w:t>, 2001</w:t>
      </w:r>
      <w:r w:rsidR="00DB5B07">
        <w:rPr>
          <w:bCs/>
          <w:iCs/>
          <w:color w:val="000000" w:themeColor="text1"/>
        </w:rPr>
        <w:t xml:space="preserve">; </w:t>
      </w:r>
      <w:proofErr w:type="spellStart"/>
      <w:r w:rsidR="00DB5B07" w:rsidRPr="00E11432">
        <w:rPr>
          <w:bCs/>
          <w:iCs/>
          <w:color w:val="000000" w:themeColor="text1"/>
        </w:rPr>
        <w:t>Trigeorgis</w:t>
      </w:r>
      <w:proofErr w:type="spellEnd"/>
      <w:r w:rsidR="00DB5B07" w:rsidRPr="00E11432">
        <w:rPr>
          <w:bCs/>
          <w:iCs/>
          <w:color w:val="000000" w:themeColor="text1"/>
        </w:rPr>
        <w:t>, 1996</w:t>
      </w:r>
      <w:r w:rsidR="00DB5B07">
        <w:rPr>
          <w:bCs/>
          <w:iCs/>
          <w:color w:val="000000" w:themeColor="text1"/>
        </w:rPr>
        <w:t>)</w:t>
      </w:r>
      <w:r w:rsidR="00DB5B07">
        <w:rPr>
          <w:color w:val="000000" w:themeColor="text1"/>
        </w:rPr>
        <w:t>.</w:t>
      </w:r>
      <w:r w:rsidR="00B46221">
        <w:rPr>
          <w:color w:val="000000" w:themeColor="text1"/>
        </w:rPr>
        <w:t xml:space="preserve"> </w:t>
      </w:r>
      <w:r w:rsidR="006D670E" w:rsidRPr="00FD2CA7">
        <w:rPr>
          <w:color w:val="000000" w:themeColor="text1"/>
        </w:rPr>
        <w:t xml:space="preserve">However, </w:t>
      </w:r>
      <w:r w:rsidR="0094605B">
        <w:rPr>
          <w:color w:val="000000" w:themeColor="text1"/>
        </w:rPr>
        <w:t xml:space="preserve">despite </w:t>
      </w:r>
      <w:r w:rsidR="00561764">
        <w:rPr>
          <w:color w:val="000000" w:themeColor="text1"/>
        </w:rPr>
        <w:t xml:space="preserve">our </w:t>
      </w:r>
      <w:r w:rsidR="000075B4">
        <w:rPr>
          <w:color w:val="000000" w:themeColor="text1"/>
        </w:rPr>
        <w:t xml:space="preserve">extant </w:t>
      </w:r>
      <w:r w:rsidR="00755255">
        <w:rPr>
          <w:color w:val="000000" w:themeColor="text1"/>
        </w:rPr>
        <w:t>knowledge</w:t>
      </w:r>
      <w:r w:rsidR="0094605B">
        <w:rPr>
          <w:color w:val="000000" w:themeColor="text1"/>
        </w:rPr>
        <w:t>,</w:t>
      </w:r>
      <w:r w:rsidR="00752C13" w:rsidRPr="00752C13">
        <w:rPr>
          <w:color w:val="000000" w:themeColor="text1"/>
        </w:rPr>
        <w:t xml:space="preserve"> </w:t>
      </w:r>
      <w:r w:rsidR="00611047">
        <w:rPr>
          <w:color w:val="000000" w:themeColor="text1"/>
        </w:rPr>
        <w:t xml:space="preserve">how </w:t>
      </w:r>
      <w:r w:rsidR="00965428">
        <w:rPr>
          <w:color w:val="000000" w:themeColor="text1"/>
        </w:rPr>
        <w:t xml:space="preserve">that </w:t>
      </w:r>
      <w:r w:rsidR="002776C8">
        <w:rPr>
          <w:color w:val="000000" w:themeColor="text1"/>
        </w:rPr>
        <w:t>orga</w:t>
      </w:r>
      <w:r w:rsidR="00611047">
        <w:rPr>
          <w:color w:val="000000" w:themeColor="text1"/>
        </w:rPr>
        <w:t xml:space="preserve">nisation </w:t>
      </w:r>
      <w:r w:rsidR="00B46221">
        <w:rPr>
          <w:color w:val="000000" w:themeColor="text1"/>
        </w:rPr>
        <w:t>survive</w:t>
      </w:r>
      <w:r w:rsidR="00965428">
        <w:rPr>
          <w:color w:val="000000" w:themeColor="text1"/>
        </w:rPr>
        <w:t>s</w:t>
      </w:r>
      <w:r w:rsidR="00B46221">
        <w:rPr>
          <w:color w:val="000000" w:themeColor="text1"/>
        </w:rPr>
        <w:t>, revitalise</w:t>
      </w:r>
      <w:r w:rsidR="00965428">
        <w:rPr>
          <w:color w:val="000000" w:themeColor="text1"/>
        </w:rPr>
        <w:t>s</w:t>
      </w:r>
      <w:r w:rsidR="00B46221">
        <w:rPr>
          <w:color w:val="000000" w:themeColor="text1"/>
        </w:rPr>
        <w:t xml:space="preserve">, importantly, </w:t>
      </w:r>
      <w:r w:rsidR="006D670E" w:rsidRPr="00FD2CA7">
        <w:rPr>
          <w:color w:val="000000" w:themeColor="text1"/>
        </w:rPr>
        <w:t>fit</w:t>
      </w:r>
      <w:r w:rsidR="00870EB6">
        <w:rPr>
          <w:color w:val="000000" w:themeColor="text1"/>
        </w:rPr>
        <w:t xml:space="preserve">ting </w:t>
      </w:r>
      <w:r w:rsidR="006D670E" w:rsidRPr="00FD2CA7">
        <w:rPr>
          <w:color w:val="000000" w:themeColor="text1"/>
        </w:rPr>
        <w:t xml:space="preserve">in </w:t>
      </w:r>
      <w:r w:rsidR="00046588">
        <w:rPr>
          <w:color w:val="000000" w:themeColor="text1"/>
        </w:rPr>
        <w:t>unpre</w:t>
      </w:r>
      <w:r>
        <w:rPr>
          <w:color w:val="000000" w:themeColor="text1"/>
        </w:rPr>
        <w:t xml:space="preserve">cedented </w:t>
      </w:r>
      <w:r w:rsidR="00C549B7">
        <w:rPr>
          <w:color w:val="000000" w:themeColor="text1"/>
        </w:rPr>
        <w:t>time</w:t>
      </w:r>
      <w:r>
        <w:rPr>
          <w:color w:val="000000" w:themeColor="text1"/>
        </w:rPr>
        <w:t>s</w:t>
      </w:r>
      <w:r w:rsidR="00965428">
        <w:rPr>
          <w:color w:val="000000" w:themeColor="text1"/>
        </w:rPr>
        <w:t xml:space="preserve"> </w:t>
      </w:r>
      <w:r w:rsidR="004E5A8C" w:rsidRPr="00FD2CA7">
        <w:rPr>
          <w:color w:val="000000" w:themeColor="text1"/>
        </w:rPr>
        <w:t>remain</w:t>
      </w:r>
      <w:r w:rsidR="00965428">
        <w:rPr>
          <w:color w:val="000000" w:themeColor="text1"/>
        </w:rPr>
        <w:t>s</w:t>
      </w:r>
      <w:r w:rsidR="004E5A8C" w:rsidRPr="00FD2CA7">
        <w:rPr>
          <w:color w:val="000000" w:themeColor="text1"/>
        </w:rPr>
        <w:t xml:space="preserve"> under</w:t>
      </w:r>
      <w:r w:rsidR="004E5A8C">
        <w:rPr>
          <w:color w:val="000000" w:themeColor="text1"/>
        </w:rPr>
        <w:t xml:space="preserve">-researched. </w:t>
      </w:r>
      <w:r w:rsidR="00C448FC">
        <w:rPr>
          <w:color w:val="000000" w:themeColor="text1"/>
        </w:rPr>
        <w:t>Concerning</w:t>
      </w:r>
      <w:r w:rsidR="004E5A8C">
        <w:rPr>
          <w:color w:val="000000" w:themeColor="text1"/>
        </w:rPr>
        <w:t xml:space="preserve"> </w:t>
      </w:r>
      <w:r w:rsidR="006D670E" w:rsidRPr="00FD2CA7">
        <w:rPr>
          <w:color w:val="000000" w:themeColor="text1"/>
        </w:rPr>
        <w:t>rapidly chang</w:t>
      </w:r>
      <w:r w:rsidR="00611047">
        <w:rPr>
          <w:color w:val="000000" w:themeColor="text1"/>
        </w:rPr>
        <w:t xml:space="preserve">ing </w:t>
      </w:r>
      <w:r>
        <w:rPr>
          <w:color w:val="000000" w:themeColor="text1"/>
        </w:rPr>
        <w:t xml:space="preserve">and unpredictable </w:t>
      </w:r>
      <w:r w:rsidR="006D670E" w:rsidRPr="00FD2CA7">
        <w:rPr>
          <w:color w:val="000000" w:themeColor="text1"/>
        </w:rPr>
        <w:t>environments</w:t>
      </w:r>
      <w:r w:rsidR="004E5A8C">
        <w:rPr>
          <w:color w:val="000000" w:themeColor="text1"/>
        </w:rPr>
        <w:t>,</w:t>
      </w:r>
      <w:r w:rsidR="006D670E" w:rsidRPr="00FD2CA7">
        <w:rPr>
          <w:color w:val="000000" w:themeColor="text1"/>
        </w:rPr>
        <w:t xml:space="preserve"> </w:t>
      </w:r>
      <w:r w:rsidR="004E5A8C">
        <w:rPr>
          <w:color w:val="000000" w:themeColor="text1"/>
        </w:rPr>
        <w:t>w</w:t>
      </w:r>
      <w:r w:rsidR="002776C8">
        <w:rPr>
          <w:color w:val="000000" w:themeColor="text1"/>
        </w:rPr>
        <w:t xml:space="preserve">e lack a coherent model </w:t>
      </w:r>
      <w:r w:rsidR="006413C5">
        <w:rPr>
          <w:color w:val="000000" w:themeColor="text1"/>
        </w:rPr>
        <w:t xml:space="preserve">for </w:t>
      </w:r>
      <w:r w:rsidR="000C3FC3">
        <w:rPr>
          <w:color w:val="000000" w:themeColor="text1"/>
        </w:rPr>
        <w:t xml:space="preserve">dealing with </w:t>
      </w:r>
      <w:r w:rsidR="00F90058">
        <w:rPr>
          <w:color w:val="000000" w:themeColor="text1"/>
        </w:rPr>
        <w:t>uncertainty</w:t>
      </w:r>
      <w:r w:rsidR="004E5A8C">
        <w:rPr>
          <w:color w:val="000000" w:themeColor="text1"/>
        </w:rPr>
        <w:t>, specifically, w</w:t>
      </w:r>
      <w:r w:rsidR="002575BB">
        <w:rPr>
          <w:color w:val="000000" w:themeColor="text1"/>
        </w:rPr>
        <w:t xml:space="preserve">ith </w:t>
      </w:r>
      <w:r w:rsidR="0066106F">
        <w:rPr>
          <w:color w:val="000000" w:themeColor="text1"/>
        </w:rPr>
        <w:t>COVID</w:t>
      </w:r>
      <w:r w:rsidR="009A0D36">
        <w:rPr>
          <w:color w:val="000000" w:themeColor="text1"/>
        </w:rPr>
        <w:t>-19</w:t>
      </w:r>
      <w:r w:rsidR="00DE4A3D">
        <w:rPr>
          <w:color w:val="000000" w:themeColor="text1"/>
        </w:rPr>
        <w:t>.</w:t>
      </w:r>
      <w:r w:rsidR="009A0D36">
        <w:rPr>
          <w:color w:val="000000" w:themeColor="text1"/>
        </w:rPr>
        <w:t xml:space="preserve"> </w:t>
      </w:r>
      <w:r w:rsidR="00DE4A3D">
        <w:rPr>
          <w:color w:val="000000" w:themeColor="text1"/>
        </w:rPr>
        <w:t xml:space="preserve">The Pandemic </w:t>
      </w:r>
      <w:r w:rsidR="00F91142">
        <w:rPr>
          <w:color w:val="000000" w:themeColor="text1"/>
        </w:rPr>
        <w:t xml:space="preserve">is believed to be </w:t>
      </w:r>
      <w:r>
        <w:rPr>
          <w:color w:val="000000" w:themeColor="text1"/>
        </w:rPr>
        <w:t>co</w:t>
      </w:r>
      <w:r w:rsidR="00F91142">
        <w:rPr>
          <w:color w:val="000000" w:themeColor="text1"/>
        </w:rPr>
        <w:t xml:space="preserve">nsistently and widely present in </w:t>
      </w:r>
      <w:r w:rsidR="009A0D36">
        <w:rPr>
          <w:color w:val="000000" w:themeColor="text1"/>
        </w:rPr>
        <w:t>many societies</w:t>
      </w:r>
      <w:r w:rsidR="00F91142">
        <w:rPr>
          <w:color w:val="000000" w:themeColor="text1"/>
        </w:rPr>
        <w:t xml:space="preserve">, </w:t>
      </w:r>
      <w:r>
        <w:rPr>
          <w:color w:val="000000" w:themeColor="text1"/>
        </w:rPr>
        <w:t xml:space="preserve">in effect, it has become </w:t>
      </w:r>
      <w:r w:rsidR="00F91142">
        <w:rPr>
          <w:color w:val="000000" w:themeColor="text1"/>
        </w:rPr>
        <w:t>endemic</w:t>
      </w:r>
      <w:r w:rsidR="00225B26">
        <w:rPr>
          <w:color w:val="000000" w:themeColor="text1"/>
        </w:rPr>
        <w:t xml:space="preserve">, given the </w:t>
      </w:r>
      <w:r w:rsidR="00225B26">
        <w:t xml:space="preserve">evolving and transformed </w:t>
      </w:r>
      <w:r w:rsidR="00C448FC">
        <w:t>Alphavirus</w:t>
      </w:r>
      <w:r w:rsidR="00225B26">
        <w:t xml:space="preserve">, Delta virus, and </w:t>
      </w:r>
      <w:r w:rsidR="00196479">
        <w:t xml:space="preserve">new </w:t>
      </w:r>
      <w:r w:rsidR="00225B26">
        <w:t>Omicron, t</w:t>
      </w:r>
      <w:r w:rsidR="00225B26" w:rsidRPr="00FD2CA7">
        <w:t>he</w:t>
      </w:r>
      <w:r w:rsidR="00225B26">
        <w:t xml:space="preserve">ir critical </w:t>
      </w:r>
      <w:r w:rsidR="00225B26" w:rsidRPr="00FD2CA7">
        <w:t>contagion effect</w:t>
      </w:r>
      <w:r w:rsidR="00225B26">
        <w:t>s</w:t>
      </w:r>
      <w:r w:rsidR="009A0D36">
        <w:rPr>
          <w:color w:val="000000" w:themeColor="text1"/>
        </w:rPr>
        <w:t>.</w:t>
      </w:r>
      <w:r w:rsidR="00E84CD2">
        <w:rPr>
          <w:color w:val="000000" w:themeColor="text1"/>
        </w:rPr>
        <w:t xml:space="preserve"> </w:t>
      </w:r>
      <w:r w:rsidR="00B30A15">
        <w:rPr>
          <w:color w:val="000000" w:themeColor="text1"/>
        </w:rPr>
        <w:t>The crucial question raised is</w:t>
      </w:r>
      <w:r w:rsidR="00163CFC">
        <w:rPr>
          <w:color w:val="000000" w:themeColor="text1"/>
        </w:rPr>
        <w:t>:</w:t>
      </w:r>
      <w:r w:rsidR="00B30A15">
        <w:rPr>
          <w:color w:val="000000" w:themeColor="text1"/>
        </w:rPr>
        <w:t xml:space="preserve"> How </w:t>
      </w:r>
      <w:r w:rsidR="00490E20">
        <w:rPr>
          <w:color w:val="000000" w:themeColor="text1"/>
        </w:rPr>
        <w:t xml:space="preserve">can </w:t>
      </w:r>
      <w:r w:rsidR="00B30A15">
        <w:rPr>
          <w:color w:val="000000" w:themeColor="text1"/>
        </w:rPr>
        <w:t>organisations deal with uncertainty</w:t>
      </w:r>
      <w:r w:rsidR="00965428">
        <w:rPr>
          <w:color w:val="000000" w:themeColor="text1"/>
        </w:rPr>
        <w:t>,</w:t>
      </w:r>
      <w:r w:rsidR="00B30A15">
        <w:rPr>
          <w:color w:val="000000" w:themeColor="text1"/>
        </w:rPr>
        <w:t xml:space="preserve"> exploring business growth opportunities, towards resilience aftermath </w:t>
      </w:r>
      <w:r w:rsidR="00490E20">
        <w:rPr>
          <w:color w:val="000000" w:themeColor="text1"/>
        </w:rPr>
        <w:t>of the COVID -19 Pandemic?</w:t>
      </w:r>
      <w:r w:rsidR="00DE4A3D" w:rsidRPr="00DE4A3D">
        <w:rPr>
          <w:bCs/>
          <w:iCs/>
          <w:color w:val="000000" w:themeColor="text1"/>
        </w:rPr>
        <w:t xml:space="preserve"> </w:t>
      </w:r>
    </w:p>
    <w:p w14:paraId="66F03F28" w14:textId="75EBCFCF" w:rsidR="00353CD6" w:rsidRPr="00AE6602" w:rsidRDefault="00D51AA7" w:rsidP="00D44EBD">
      <w:pPr>
        <w:spacing w:after="120" w:line="480" w:lineRule="auto"/>
        <w:ind w:firstLine="284"/>
        <w:jc w:val="both"/>
      </w:pPr>
      <w:r w:rsidRPr="00D51AA7">
        <w:rPr>
          <w:bCs/>
          <w:color w:val="000000" w:themeColor="text1"/>
        </w:rPr>
        <w:t>T</w:t>
      </w:r>
      <w:r w:rsidR="004A1628">
        <w:rPr>
          <w:bCs/>
          <w:color w:val="000000" w:themeColor="text1"/>
        </w:rPr>
        <w:t>o</w:t>
      </w:r>
      <w:r w:rsidR="008F781E">
        <w:rPr>
          <w:bCs/>
          <w:color w:val="000000" w:themeColor="text1"/>
        </w:rPr>
        <w:t xml:space="preserve">wards the </w:t>
      </w:r>
      <w:r w:rsidR="006413C5">
        <w:rPr>
          <w:bCs/>
          <w:color w:val="000000" w:themeColor="text1"/>
        </w:rPr>
        <w:t xml:space="preserve">challenge, </w:t>
      </w:r>
      <w:r w:rsidR="006413C5">
        <w:rPr>
          <w:bCs/>
          <w:iCs/>
          <w:color w:val="000000" w:themeColor="text1"/>
        </w:rPr>
        <w:t>recent</w:t>
      </w:r>
      <w:r w:rsidR="00965428">
        <w:rPr>
          <w:bCs/>
          <w:iCs/>
          <w:color w:val="000000" w:themeColor="text1"/>
        </w:rPr>
        <w:t xml:space="preserve"> </w:t>
      </w:r>
      <w:r w:rsidR="00DE4A3D">
        <w:rPr>
          <w:bCs/>
          <w:iCs/>
          <w:color w:val="000000" w:themeColor="text1"/>
        </w:rPr>
        <w:t xml:space="preserve">research </w:t>
      </w:r>
      <w:r w:rsidR="00163CFC">
        <w:rPr>
          <w:bCs/>
          <w:iCs/>
          <w:color w:val="000000" w:themeColor="text1"/>
        </w:rPr>
        <w:t>advance</w:t>
      </w:r>
      <w:r w:rsidR="00620451">
        <w:rPr>
          <w:bCs/>
          <w:iCs/>
          <w:color w:val="000000" w:themeColor="text1"/>
        </w:rPr>
        <w:t>ment</w:t>
      </w:r>
      <w:r w:rsidR="00490E20">
        <w:rPr>
          <w:bCs/>
          <w:iCs/>
          <w:color w:val="000000" w:themeColor="text1"/>
        </w:rPr>
        <w:t xml:space="preserve"> </w:t>
      </w:r>
      <w:r w:rsidR="00965428">
        <w:rPr>
          <w:bCs/>
          <w:iCs/>
          <w:color w:val="000000" w:themeColor="text1"/>
        </w:rPr>
        <w:t xml:space="preserve">shows that </w:t>
      </w:r>
      <w:r w:rsidR="00490E20">
        <w:rPr>
          <w:bCs/>
          <w:iCs/>
          <w:color w:val="000000" w:themeColor="text1"/>
        </w:rPr>
        <w:t xml:space="preserve">scholars </w:t>
      </w:r>
      <w:r w:rsidR="008F781E">
        <w:rPr>
          <w:bCs/>
          <w:iCs/>
          <w:color w:val="000000" w:themeColor="text1"/>
        </w:rPr>
        <w:t>have linked real options thinking to organi</w:t>
      </w:r>
      <w:r w:rsidR="006F1E41">
        <w:rPr>
          <w:bCs/>
          <w:iCs/>
          <w:color w:val="000000" w:themeColor="text1"/>
        </w:rPr>
        <w:t>s</w:t>
      </w:r>
      <w:r w:rsidR="008F781E">
        <w:rPr>
          <w:bCs/>
          <w:iCs/>
          <w:color w:val="000000" w:themeColor="text1"/>
        </w:rPr>
        <w:t>ations dealing with the uncertainty of the Pandemic (</w:t>
      </w:r>
      <w:proofErr w:type="spellStart"/>
      <w:r w:rsidR="008F781E" w:rsidRPr="005D3818">
        <w:rPr>
          <w:bCs/>
        </w:rPr>
        <w:t>Chakhovich</w:t>
      </w:r>
      <w:proofErr w:type="spellEnd"/>
      <w:r w:rsidR="008F781E" w:rsidRPr="005D3818">
        <w:rPr>
          <w:bCs/>
        </w:rPr>
        <w:t xml:space="preserve"> </w:t>
      </w:r>
      <w:r w:rsidR="008F781E">
        <w:rPr>
          <w:bCs/>
        </w:rPr>
        <w:t>and</w:t>
      </w:r>
      <w:r w:rsidR="008F781E" w:rsidRPr="005D3818">
        <w:rPr>
          <w:bCs/>
        </w:rPr>
        <w:t xml:space="preserve"> </w:t>
      </w:r>
      <w:proofErr w:type="spellStart"/>
      <w:r w:rsidR="008F781E" w:rsidRPr="005D3818">
        <w:rPr>
          <w:bCs/>
        </w:rPr>
        <w:t>Marttila</w:t>
      </w:r>
      <w:proofErr w:type="spellEnd"/>
      <w:r w:rsidR="008F781E">
        <w:rPr>
          <w:bCs/>
        </w:rPr>
        <w:t xml:space="preserve">, </w:t>
      </w:r>
      <w:r w:rsidR="008F781E" w:rsidRPr="005D3818">
        <w:rPr>
          <w:bCs/>
        </w:rPr>
        <w:t>2020</w:t>
      </w:r>
      <w:r w:rsidR="008F781E">
        <w:rPr>
          <w:bCs/>
        </w:rPr>
        <w:t xml:space="preserve">; </w:t>
      </w:r>
      <w:proofErr w:type="spellStart"/>
      <w:r w:rsidR="008F781E" w:rsidRPr="001B3D42">
        <w:rPr>
          <w:color w:val="000000" w:themeColor="text1"/>
        </w:rPr>
        <w:t>Craighead</w:t>
      </w:r>
      <w:proofErr w:type="spellEnd"/>
      <w:r w:rsidR="008F781E" w:rsidRPr="001B3D42">
        <w:rPr>
          <w:color w:val="000000" w:themeColor="text1"/>
        </w:rPr>
        <w:t xml:space="preserve">, </w:t>
      </w:r>
      <w:proofErr w:type="spellStart"/>
      <w:r w:rsidR="008F781E" w:rsidRPr="001B3D42">
        <w:rPr>
          <w:color w:val="000000" w:themeColor="text1"/>
        </w:rPr>
        <w:t>Ketchen</w:t>
      </w:r>
      <w:proofErr w:type="spellEnd"/>
      <w:r w:rsidR="008F781E" w:rsidRPr="001B3D42">
        <w:rPr>
          <w:color w:val="000000" w:themeColor="text1"/>
        </w:rPr>
        <w:t>, and Darby</w:t>
      </w:r>
      <w:r w:rsidR="008F781E">
        <w:rPr>
          <w:color w:val="000000" w:themeColor="text1"/>
        </w:rPr>
        <w:t>,</w:t>
      </w:r>
      <w:r w:rsidR="008F781E" w:rsidRPr="001B3D42">
        <w:rPr>
          <w:color w:val="000000" w:themeColor="text1"/>
        </w:rPr>
        <w:t xml:space="preserve"> 2020</w:t>
      </w:r>
      <w:r w:rsidR="008F781E">
        <w:rPr>
          <w:color w:val="000000" w:themeColor="text1"/>
        </w:rPr>
        <w:t>;</w:t>
      </w:r>
      <w:r w:rsidR="008F781E" w:rsidRPr="001B3D42">
        <w:rPr>
          <w:color w:val="000000" w:themeColor="text1"/>
        </w:rPr>
        <w:t xml:space="preserve"> </w:t>
      </w:r>
      <w:proofErr w:type="spellStart"/>
      <w:r w:rsidR="008F781E" w:rsidRPr="00641042">
        <w:rPr>
          <w:color w:val="000000" w:themeColor="text1"/>
        </w:rPr>
        <w:t>Harikae</w:t>
      </w:r>
      <w:proofErr w:type="spellEnd"/>
      <w:r w:rsidR="008F781E" w:rsidRPr="00641042">
        <w:rPr>
          <w:color w:val="000000" w:themeColor="text1"/>
        </w:rPr>
        <w:t xml:space="preserve"> et al., 202</w:t>
      </w:r>
      <w:r w:rsidR="008F781E">
        <w:rPr>
          <w:color w:val="000000" w:themeColor="text1"/>
        </w:rPr>
        <w:t>0).</w:t>
      </w:r>
      <w:r w:rsidR="002A1F23" w:rsidRPr="002A1F23">
        <w:rPr>
          <w:bCs/>
          <w:iCs/>
          <w:color w:val="000000" w:themeColor="text1"/>
        </w:rPr>
        <w:t xml:space="preserve"> </w:t>
      </w:r>
      <w:r w:rsidR="00620451">
        <w:rPr>
          <w:bCs/>
          <w:iCs/>
          <w:color w:val="000000" w:themeColor="text1"/>
        </w:rPr>
        <w:t xml:space="preserve">We take a step </w:t>
      </w:r>
      <w:r w:rsidR="00620451">
        <w:rPr>
          <w:bCs/>
          <w:iCs/>
          <w:color w:val="000000" w:themeColor="text1"/>
        </w:rPr>
        <w:lastRenderedPageBreak/>
        <w:t xml:space="preserve">further to </w:t>
      </w:r>
      <w:r w:rsidR="00353CD6" w:rsidRPr="00FD2CA7">
        <w:t xml:space="preserve">develop </w:t>
      </w:r>
      <w:r w:rsidR="00353CD6">
        <w:t xml:space="preserve">the </w:t>
      </w:r>
      <w:r w:rsidR="00353CD6" w:rsidRPr="00FD2CA7">
        <w:t xml:space="preserve">Real Options </w:t>
      </w:r>
      <w:r w:rsidR="00353CD6">
        <w:t>Approach (ROA)</w:t>
      </w:r>
      <w:r w:rsidR="00E1500D">
        <w:t xml:space="preserve"> </w:t>
      </w:r>
      <w:r w:rsidR="00C07E6D">
        <w:t>and</w:t>
      </w:r>
      <w:r w:rsidR="00E1500D">
        <w:t xml:space="preserve"> demonstrate</w:t>
      </w:r>
      <w:r w:rsidR="00353CD6">
        <w:t xml:space="preserve"> how ROA can be employed as </w:t>
      </w:r>
      <w:r w:rsidR="00353CD6">
        <w:rPr>
          <w:bCs/>
          <w:iCs/>
          <w:color w:val="000000" w:themeColor="text1"/>
        </w:rPr>
        <w:t>a set of thinking tools by decision-makers for the</w:t>
      </w:r>
      <w:r w:rsidR="0020645C">
        <w:rPr>
          <w:bCs/>
          <w:iCs/>
          <w:color w:val="000000" w:themeColor="text1"/>
        </w:rPr>
        <w:t>ir</w:t>
      </w:r>
      <w:r w:rsidR="00353CD6">
        <w:rPr>
          <w:bCs/>
          <w:iCs/>
          <w:color w:val="000000" w:themeColor="text1"/>
        </w:rPr>
        <w:t xml:space="preserve"> decision processes </w:t>
      </w:r>
      <w:r w:rsidR="0020645C">
        <w:rPr>
          <w:bCs/>
          <w:iCs/>
          <w:color w:val="000000" w:themeColor="text1"/>
        </w:rPr>
        <w:t>that c</w:t>
      </w:r>
      <w:r w:rsidR="00353CD6">
        <w:rPr>
          <w:bCs/>
          <w:iCs/>
          <w:color w:val="000000" w:themeColor="text1"/>
        </w:rPr>
        <w:t xml:space="preserve">oncern the COVID-19 pandemic </w:t>
      </w:r>
      <w:r w:rsidR="007818BD">
        <w:rPr>
          <w:bCs/>
          <w:iCs/>
          <w:color w:val="000000" w:themeColor="text1"/>
        </w:rPr>
        <w:t>consequences</w:t>
      </w:r>
      <w:r w:rsidR="0020645C">
        <w:rPr>
          <w:bCs/>
          <w:iCs/>
          <w:color w:val="000000" w:themeColor="text1"/>
        </w:rPr>
        <w:t>.</w:t>
      </w:r>
      <w:r w:rsidR="00353CD6">
        <w:rPr>
          <w:bCs/>
          <w:iCs/>
          <w:color w:val="000000" w:themeColor="text1"/>
        </w:rPr>
        <w:t xml:space="preserve"> </w:t>
      </w:r>
      <w:r w:rsidR="0020645C">
        <w:rPr>
          <w:bCs/>
          <w:iCs/>
          <w:color w:val="000000" w:themeColor="text1"/>
        </w:rPr>
        <w:t>W</w:t>
      </w:r>
      <w:r w:rsidR="00353CD6">
        <w:rPr>
          <w:bCs/>
          <w:iCs/>
          <w:color w:val="000000" w:themeColor="text1"/>
        </w:rPr>
        <w:t>e define the term ‘</w:t>
      </w:r>
      <w:r w:rsidR="00353CD6" w:rsidRPr="00EE66FC">
        <w:rPr>
          <w:bCs/>
          <w:iCs/>
          <w:color w:val="000000" w:themeColor="text1"/>
        </w:rPr>
        <w:t>options</w:t>
      </w:r>
      <w:r w:rsidR="00353CD6">
        <w:rPr>
          <w:bCs/>
          <w:iCs/>
          <w:color w:val="000000" w:themeColor="text1"/>
        </w:rPr>
        <w:t>’ as</w:t>
      </w:r>
      <w:r w:rsidR="0020645C">
        <w:rPr>
          <w:bCs/>
          <w:iCs/>
          <w:color w:val="000000" w:themeColor="text1"/>
        </w:rPr>
        <w:t xml:space="preserve"> that</w:t>
      </w:r>
      <w:r w:rsidR="00353CD6">
        <w:rPr>
          <w:bCs/>
          <w:iCs/>
          <w:color w:val="000000" w:themeColor="text1"/>
        </w:rPr>
        <w:t xml:space="preserve"> </w:t>
      </w:r>
      <w:r w:rsidR="00353CD6" w:rsidRPr="00981D3D">
        <w:t>opposed to alternative or possibility</w:t>
      </w:r>
      <w:r w:rsidR="00353CD6">
        <w:t xml:space="preserve"> in</w:t>
      </w:r>
      <w:r w:rsidR="00353CD6">
        <w:rPr>
          <w:bCs/>
          <w:iCs/>
          <w:color w:val="000000" w:themeColor="text1"/>
        </w:rPr>
        <w:t xml:space="preserve"> understanding </w:t>
      </w:r>
      <w:r w:rsidR="006413C5">
        <w:rPr>
          <w:bCs/>
          <w:iCs/>
          <w:color w:val="000000" w:themeColor="text1"/>
        </w:rPr>
        <w:t>problem-solution</w:t>
      </w:r>
      <w:r w:rsidR="00353CD6">
        <w:rPr>
          <w:bCs/>
          <w:iCs/>
          <w:color w:val="000000" w:themeColor="text1"/>
        </w:rPr>
        <w:t xml:space="preserve"> boundaries</w:t>
      </w:r>
      <w:r w:rsidR="00353CD6" w:rsidRPr="00BA7C97">
        <w:rPr>
          <w:bCs/>
          <w:iCs/>
          <w:color w:val="000000" w:themeColor="text1"/>
        </w:rPr>
        <w:t xml:space="preserve"> </w:t>
      </w:r>
      <w:r w:rsidR="00353CD6">
        <w:rPr>
          <w:bCs/>
          <w:iCs/>
          <w:color w:val="000000" w:themeColor="text1"/>
        </w:rPr>
        <w:t>for decision-makers</w:t>
      </w:r>
      <w:r w:rsidR="0020645C">
        <w:rPr>
          <w:bCs/>
          <w:iCs/>
          <w:color w:val="000000" w:themeColor="text1"/>
        </w:rPr>
        <w:t>.</w:t>
      </w:r>
      <w:r w:rsidR="00353CD6">
        <w:rPr>
          <w:bCs/>
          <w:iCs/>
          <w:color w:val="000000" w:themeColor="text1"/>
        </w:rPr>
        <w:t xml:space="preserve"> </w:t>
      </w:r>
      <w:r w:rsidR="0020645C">
        <w:rPr>
          <w:bCs/>
          <w:iCs/>
          <w:color w:val="000000" w:themeColor="text1"/>
        </w:rPr>
        <w:t>We define</w:t>
      </w:r>
      <w:r w:rsidR="00392C95">
        <w:rPr>
          <w:bCs/>
          <w:iCs/>
          <w:color w:val="000000" w:themeColor="text1"/>
        </w:rPr>
        <w:t xml:space="preserve"> ‘real’ as </w:t>
      </w:r>
      <w:r w:rsidR="00353CD6" w:rsidRPr="00981D3D">
        <w:t>developing and testing relevant</w:t>
      </w:r>
      <w:r w:rsidR="00353CD6">
        <w:t xml:space="preserve"> </w:t>
      </w:r>
      <w:r w:rsidR="00392C95" w:rsidRPr="00EE66FC">
        <w:rPr>
          <w:bCs/>
          <w:iCs/>
          <w:color w:val="000000" w:themeColor="text1"/>
        </w:rPr>
        <w:t>alternatives</w:t>
      </w:r>
      <w:r w:rsidR="00392C95" w:rsidRPr="00981D3D">
        <w:t xml:space="preserve"> </w:t>
      </w:r>
      <w:r w:rsidR="00353CD6" w:rsidRPr="00981D3D">
        <w:t>hypotheses</w:t>
      </w:r>
      <w:r w:rsidR="00353CD6">
        <w:t>, thus,</w:t>
      </w:r>
      <w:r w:rsidR="00353CD6">
        <w:rPr>
          <w:bCs/>
          <w:iCs/>
          <w:color w:val="000000" w:themeColor="text1"/>
        </w:rPr>
        <w:t xml:space="preserve"> creating </w:t>
      </w:r>
      <w:r w:rsidR="00353CD6" w:rsidRPr="00EE66FC">
        <w:rPr>
          <w:bCs/>
          <w:iCs/>
          <w:color w:val="000000" w:themeColor="text1"/>
        </w:rPr>
        <w:t xml:space="preserve">opportunities </w:t>
      </w:r>
      <w:r w:rsidR="00353CD6">
        <w:rPr>
          <w:bCs/>
          <w:iCs/>
          <w:color w:val="000000" w:themeColor="text1"/>
        </w:rPr>
        <w:t>for busines</w:t>
      </w:r>
      <w:r w:rsidR="00392C95">
        <w:rPr>
          <w:bCs/>
          <w:iCs/>
          <w:color w:val="000000" w:themeColor="text1"/>
        </w:rPr>
        <w:t xml:space="preserve">s growth </w:t>
      </w:r>
      <w:r w:rsidR="00353CD6">
        <w:rPr>
          <w:bCs/>
          <w:iCs/>
          <w:color w:val="000000" w:themeColor="text1"/>
        </w:rPr>
        <w:t>and organisation</w:t>
      </w:r>
      <w:r w:rsidR="00392C95">
        <w:rPr>
          <w:bCs/>
          <w:iCs/>
          <w:color w:val="000000" w:themeColor="text1"/>
        </w:rPr>
        <w:t>al resilience</w:t>
      </w:r>
      <w:r w:rsidR="00353CD6">
        <w:rPr>
          <w:bCs/>
          <w:iCs/>
          <w:color w:val="000000" w:themeColor="text1"/>
        </w:rPr>
        <w:t xml:space="preserve">. </w:t>
      </w:r>
      <w:r w:rsidR="00BF4BB6">
        <w:rPr>
          <w:bCs/>
          <w:iCs/>
          <w:color w:val="000000" w:themeColor="text1"/>
        </w:rPr>
        <w:t xml:space="preserve">Within </w:t>
      </w:r>
      <w:r w:rsidR="00353CD6">
        <w:rPr>
          <w:bCs/>
          <w:iCs/>
          <w:color w:val="000000" w:themeColor="text1"/>
        </w:rPr>
        <w:t xml:space="preserve">a </w:t>
      </w:r>
      <w:r w:rsidR="00392C95">
        <w:rPr>
          <w:bCs/>
          <w:iCs/>
          <w:color w:val="000000" w:themeColor="text1"/>
        </w:rPr>
        <w:t>more general concept</w:t>
      </w:r>
      <w:r w:rsidR="00BF4BB6">
        <w:rPr>
          <w:bCs/>
          <w:iCs/>
          <w:color w:val="000000" w:themeColor="text1"/>
        </w:rPr>
        <w:t>ion</w:t>
      </w:r>
      <w:r w:rsidR="00353CD6">
        <w:rPr>
          <w:bCs/>
          <w:iCs/>
          <w:color w:val="000000" w:themeColor="text1"/>
        </w:rPr>
        <w:t xml:space="preserve">, </w:t>
      </w:r>
      <w:proofErr w:type="spellStart"/>
      <w:r w:rsidR="00353CD6">
        <w:rPr>
          <w:bCs/>
          <w:iCs/>
          <w:color w:val="000000" w:themeColor="text1"/>
        </w:rPr>
        <w:t>Trigeorgis</w:t>
      </w:r>
      <w:proofErr w:type="spellEnd"/>
      <w:r w:rsidR="00353CD6">
        <w:rPr>
          <w:bCs/>
          <w:iCs/>
          <w:color w:val="000000" w:themeColor="text1"/>
        </w:rPr>
        <w:t xml:space="preserve"> and </w:t>
      </w:r>
      <w:proofErr w:type="spellStart"/>
      <w:r w:rsidR="00353CD6">
        <w:rPr>
          <w:bCs/>
          <w:iCs/>
          <w:color w:val="000000" w:themeColor="text1"/>
        </w:rPr>
        <w:t>Reuer</w:t>
      </w:r>
      <w:proofErr w:type="spellEnd"/>
      <w:r w:rsidR="00353CD6">
        <w:rPr>
          <w:bCs/>
          <w:iCs/>
          <w:color w:val="000000" w:themeColor="text1"/>
        </w:rPr>
        <w:t xml:space="preserve"> (2017</w:t>
      </w:r>
      <w:r w:rsidR="00392C95">
        <w:rPr>
          <w:bCs/>
          <w:iCs/>
          <w:color w:val="000000" w:themeColor="text1"/>
        </w:rPr>
        <w:t>, p. 43</w:t>
      </w:r>
      <w:r w:rsidR="00353CD6">
        <w:rPr>
          <w:bCs/>
          <w:iCs/>
          <w:color w:val="000000" w:themeColor="text1"/>
        </w:rPr>
        <w:t xml:space="preserve">) explain the term </w:t>
      </w:r>
      <w:r w:rsidR="00353CD6">
        <w:t xml:space="preserve">as </w:t>
      </w:r>
      <w:r w:rsidR="00392C95">
        <w:t>“</w:t>
      </w:r>
      <w:r w:rsidR="00353CD6">
        <w:t>a</w:t>
      </w:r>
      <w:r w:rsidR="00353CD6" w:rsidRPr="00981D3D">
        <w:t>mounts</w:t>
      </w:r>
      <w:r w:rsidR="00353CD6">
        <w:t xml:space="preserve"> </w:t>
      </w:r>
      <w:r w:rsidR="00353CD6" w:rsidRPr="00981D3D">
        <w:t>to describing what makes them “options,” and then</w:t>
      </w:r>
      <w:r w:rsidR="00353CD6">
        <w:t xml:space="preserve"> </w:t>
      </w:r>
      <w:r w:rsidR="00353CD6" w:rsidRPr="00981D3D">
        <w:t>what makes them “real</w:t>
      </w:r>
      <w:r w:rsidR="00392C95">
        <w:t>”</w:t>
      </w:r>
      <w:r w:rsidR="00353CD6" w:rsidRPr="00981D3D">
        <w:t>.</w:t>
      </w:r>
      <w:r w:rsidR="00392C95">
        <w:t>”</w:t>
      </w:r>
      <w:r w:rsidR="00E1500D">
        <w:t xml:space="preserve"> </w:t>
      </w:r>
      <w:r w:rsidR="00C07E6D">
        <w:t xml:space="preserve">Within the essential objectives of this paper, </w:t>
      </w:r>
      <w:r w:rsidR="00C07E6D">
        <w:rPr>
          <w:bCs/>
          <w:iCs/>
          <w:color w:val="000000" w:themeColor="text1"/>
        </w:rPr>
        <w:t>we provide the ROA that allows for decision-makers to reveal and subsequently exploit the unknowledge or information gaps that remain hidden until subsequently discovered through making connections and reconfiguring activity sets. We</w:t>
      </w:r>
      <w:r w:rsidR="00C07E6D">
        <w:rPr>
          <w:bCs/>
          <w:color w:val="000000" w:themeColor="text1"/>
        </w:rPr>
        <w:t xml:space="preserve"> </w:t>
      </w:r>
      <w:r w:rsidR="00C07E6D" w:rsidRPr="00D51AA7">
        <w:rPr>
          <w:bCs/>
          <w:color w:val="000000" w:themeColor="text1"/>
        </w:rPr>
        <w:t>theoris</w:t>
      </w:r>
      <w:r w:rsidR="00C07E6D">
        <w:rPr>
          <w:bCs/>
          <w:color w:val="000000" w:themeColor="text1"/>
        </w:rPr>
        <w:t>e that</w:t>
      </w:r>
      <w:r w:rsidR="00C07E6D" w:rsidRPr="00D51AA7">
        <w:rPr>
          <w:color w:val="000000"/>
        </w:rPr>
        <w:t xml:space="preserve"> </w:t>
      </w:r>
      <w:r w:rsidR="00C07E6D">
        <w:rPr>
          <w:color w:val="000000"/>
        </w:rPr>
        <w:t xml:space="preserve">in the challenging </w:t>
      </w:r>
      <w:r w:rsidR="00C07E6D" w:rsidRPr="00D51AA7">
        <w:rPr>
          <w:color w:val="000000"/>
        </w:rPr>
        <w:t>environment</w:t>
      </w:r>
      <w:r w:rsidR="00C07E6D">
        <w:rPr>
          <w:bCs/>
          <w:color w:val="000000" w:themeColor="text1"/>
        </w:rPr>
        <w:t xml:space="preserve"> organisational </w:t>
      </w:r>
      <w:r w:rsidR="00C07E6D">
        <w:t xml:space="preserve">resilience </w:t>
      </w:r>
      <w:r w:rsidR="00C07E6D">
        <w:rPr>
          <w:color w:val="000000" w:themeColor="text1"/>
        </w:rPr>
        <w:t xml:space="preserve">implies dynamic capabilities such as </w:t>
      </w:r>
      <w:r w:rsidR="00C07E6D" w:rsidRPr="00D51AA7">
        <w:rPr>
          <w:color w:val="000000" w:themeColor="text1"/>
        </w:rPr>
        <w:t>adaptive</w:t>
      </w:r>
      <w:r w:rsidR="00C07E6D">
        <w:rPr>
          <w:color w:val="000000" w:themeColor="text1"/>
        </w:rPr>
        <w:t xml:space="preserve"> </w:t>
      </w:r>
      <w:r w:rsidR="00C07E6D">
        <w:t>and</w:t>
      </w:r>
      <w:r w:rsidR="00C07E6D" w:rsidRPr="001F2B5B">
        <w:t xml:space="preserve"> transformative capacity</w:t>
      </w:r>
      <w:r w:rsidR="00C07E6D">
        <w:t xml:space="preserve">, and </w:t>
      </w:r>
      <w:r w:rsidR="00C07E6D" w:rsidRPr="001F2B5B">
        <w:t xml:space="preserve">how </w:t>
      </w:r>
      <w:r w:rsidR="00C07E6D">
        <w:t>businesses</w:t>
      </w:r>
      <w:r w:rsidR="00C07E6D" w:rsidRPr="001F2B5B">
        <w:t xml:space="preserve"> sense the change</w:t>
      </w:r>
      <w:r w:rsidR="00C07E6D">
        <w:t xml:space="preserve"> </w:t>
      </w:r>
      <w:r w:rsidR="00C07E6D" w:rsidRPr="001F2B5B">
        <w:t xml:space="preserve">and transform routines into specialised assets (Augier </w:t>
      </w:r>
      <w:r w:rsidR="00C07E6D">
        <w:t>and</w:t>
      </w:r>
      <w:r w:rsidR="00C07E6D" w:rsidRPr="001F2B5B">
        <w:t xml:space="preserve"> Teece, 2009;</w:t>
      </w:r>
      <w:r w:rsidR="00C07E6D" w:rsidRPr="001F2B5B">
        <w:rPr>
          <w:color w:val="000000" w:themeColor="text1"/>
        </w:rPr>
        <w:t xml:space="preserve"> </w:t>
      </w:r>
      <w:r w:rsidR="00C07E6D">
        <w:rPr>
          <w:color w:val="000000" w:themeColor="text1"/>
        </w:rPr>
        <w:t xml:space="preserve">Teece, 2011; </w:t>
      </w:r>
      <w:proofErr w:type="spellStart"/>
      <w:r w:rsidR="00C07E6D" w:rsidRPr="001F2B5B">
        <w:rPr>
          <w:color w:val="000000" w:themeColor="text1"/>
        </w:rPr>
        <w:t>Schoemaker</w:t>
      </w:r>
      <w:proofErr w:type="spellEnd"/>
      <w:r w:rsidR="00C07E6D" w:rsidRPr="001F2B5B">
        <w:rPr>
          <w:color w:val="000000" w:themeColor="text1"/>
        </w:rPr>
        <w:t xml:space="preserve"> </w:t>
      </w:r>
      <w:r w:rsidR="00C07E6D" w:rsidRPr="008B55A8">
        <w:rPr>
          <w:i/>
          <w:iCs/>
          <w:color w:val="000000" w:themeColor="text1"/>
        </w:rPr>
        <w:t>et al</w:t>
      </w:r>
      <w:r w:rsidR="00C07E6D" w:rsidRPr="001F2B5B">
        <w:rPr>
          <w:color w:val="000000" w:themeColor="text1"/>
        </w:rPr>
        <w:t>., 2018</w:t>
      </w:r>
      <w:r w:rsidR="00C07E6D" w:rsidRPr="001F2B5B">
        <w:t>).</w:t>
      </w:r>
      <w:r w:rsidR="00C07E6D">
        <w:t xml:space="preserve"> </w:t>
      </w:r>
      <w:r w:rsidR="004C4E05">
        <w:rPr>
          <w:color w:val="000000" w:themeColor="text1"/>
        </w:rPr>
        <w:t xml:space="preserve">We define that </w:t>
      </w:r>
      <w:r w:rsidR="004C4E05" w:rsidRPr="006E496D">
        <w:rPr>
          <w:color w:val="000000"/>
        </w:rPr>
        <w:t>re</w:t>
      </w:r>
      <w:r w:rsidR="004C4E05" w:rsidRPr="006E496D">
        <w:t>silience should apply to small perturbations (</w:t>
      </w:r>
      <w:proofErr w:type="spellStart"/>
      <w:r w:rsidR="004C4E05" w:rsidRPr="006E496D">
        <w:t>ie</w:t>
      </w:r>
      <w:proofErr w:type="spellEnd"/>
      <w:r w:rsidR="004C4E05" w:rsidRPr="006E496D">
        <w:t>. a technical system change) as well as severe disruptions (</w:t>
      </w:r>
      <w:r w:rsidR="006413C5" w:rsidRPr="006E496D">
        <w:t>i.e.,</w:t>
      </w:r>
      <w:r w:rsidR="004C4E05" w:rsidRPr="006E496D">
        <w:t xml:space="preserve"> the COVID-19 Pandemic), </w:t>
      </w:r>
      <w:r w:rsidR="004C4E05">
        <w:t xml:space="preserve">and </w:t>
      </w:r>
      <w:r w:rsidR="004C4E05" w:rsidRPr="006E496D">
        <w:t>h</w:t>
      </w:r>
      <w:r w:rsidR="004C4E05">
        <w:t>as</w:t>
      </w:r>
      <w:r w:rsidR="004C4E05" w:rsidRPr="006E496D">
        <w:t xml:space="preserve"> </w:t>
      </w:r>
      <w:r w:rsidR="004C4E05" w:rsidRPr="006E496D">
        <w:rPr>
          <w:iCs/>
          <w:color w:val="000000" w:themeColor="text1"/>
        </w:rPr>
        <w:t>the capacity to absorb shocks and disturbance</w:t>
      </w:r>
      <w:r w:rsidR="007818BD">
        <w:rPr>
          <w:iCs/>
          <w:color w:val="000000" w:themeColor="text1"/>
        </w:rPr>
        <w:t xml:space="preserve"> </w:t>
      </w:r>
      <w:r w:rsidR="004C4E05" w:rsidRPr="006E496D">
        <w:rPr>
          <w:iCs/>
          <w:color w:val="000000" w:themeColor="text1"/>
        </w:rPr>
        <w:t>(</w:t>
      </w:r>
      <w:proofErr w:type="spellStart"/>
      <w:r w:rsidR="004C4E05" w:rsidRPr="006E496D">
        <w:rPr>
          <w:color w:val="000000"/>
        </w:rPr>
        <w:t>Gallopin</w:t>
      </w:r>
      <w:proofErr w:type="spellEnd"/>
      <w:r w:rsidR="004C4E05" w:rsidRPr="006E496D">
        <w:rPr>
          <w:color w:val="000000"/>
        </w:rPr>
        <w:t xml:space="preserve">, 2006; </w:t>
      </w:r>
      <w:r w:rsidR="004C4E05" w:rsidRPr="006E496D">
        <w:rPr>
          <w:iCs/>
          <w:color w:val="000000" w:themeColor="text1"/>
          <w:lang w:val="en-US"/>
        </w:rPr>
        <w:t>Kohn, 2007)</w:t>
      </w:r>
      <w:r w:rsidR="007818BD">
        <w:rPr>
          <w:iCs/>
          <w:color w:val="000000" w:themeColor="text1"/>
          <w:lang w:val="en-US"/>
        </w:rPr>
        <w:t xml:space="preserve">, </w:t>
      </w:r>
      <w:r w:rsidR="007818BD">
        <w:rPr>
          <w:iCs/>
          <w:color w:val="000000" w:themeColor="text1"/>
        </w:rPr>
        <w:t>for which ROA offers</w:t>
      </w:r>
      <w:r w:rsidR="007818BD" w:rsidRPr="006E496D">
        <w:rPr>
          <w:iCs/>
          <w:color w:val="000000" w:themeColor="text1"/>
        </w:rPr>
        <w:t xml:space="preserve"> </w:t>
      </w:r>
      <w:r w:rsidR="006413C5">
        <w:rPr>
          <w:iCs/>
          <w:color w:val="000000" w:themeColor="text1"/>
        </w:rPr>
        <w:t xml:space="preserve">a </w:t>
      </w:r>
      <w:r w:rsidR="007818BD" w:rsidRPr="006E496D">
        <w:rPr>
          <w:iCs/>
          <w:color w:val="000000" w:themeColor="text1"/>
        </w:rPr>
        <w:t>return to an extant growth trajectory under rapidly changing conditions</w:t>
      </w:r>
      <w:r w:rsidR="004C4E05" w:rsidRPr="006E496D">
        <w:rPr>
          <w:iCs/>
          <w:color w:val="000000" w:themeColor="text1"/>
        </w:rPr>
        <w:t xml:space="preserve">. </w:t>
      </w:r>
      <w:r w:rsidR="00C07E6D">
        <w:rPr>
          <w:iCs/>
          <w:color w:val="000000" w:themeColor="text1"/>
        </w:rPr>
        <w:t>More importantly, t</w:t>
      </w:r>
      <w:r w:rsidR="004C4E05">
        <w:rPr>
          <w:iCs/>
          <w:color w:val="000000" w:themeColor="text1"/>
        </w:rPr>
        <w:t xml:space="preserve">owards resilience, </w:t>
      </w:r>
      <w:r w:rsidR="004C4E05" w:rsidRPr="006E496D">
        <w:rPr>
          <w:color w:val="000000" w:themeColor="text1"/>
        </w:rPr>
        <w:t>we show how ROA</w:t>
      </w:r>
      <w:r w:rsidR="004C4E05">
        <w:rPr>
          <w:color w:val="000000" w:themeColor="text1"/>
        </w:rPr>
        <w:t xml:space="preserve"> enables organisations to build </w:t>
      </w:r>
      <w:r w:rsidR="004C4E05" w:rsidRPr="006E496D">
        <w:rPr>
          <w:bCs/>
          <w:iCs/>
          <w:color w:val="000000" w:themeColor="text1"/>
        </w:rPr>
        <w:t>dynamic capabilities</w:t>
      </w:r>
      <w:r w:rsidR="004C4E05">
        <w:rPr>
          <w:bCs/>
          <w:iCs/>
          <w:color w:val="000000" w:themeColor="text1"/>
        </w:rPr>
        <w:t xml:space="preserve"> </w:t>
      </w:r>
      <w:r w:rsidR="004C4E05" w:rsidRPr="006E496D">
        <w:rPr>
          <w:color w:val="000000" w:themeColor="text1"/>
        </w:rPr>
        <w:t>(</w:t>
      </w:r>
      <w:r w:rsidR="004C4E05" w:rsidRPr="006E496D">
        <w:rPr>
          <w:color w:val="000000"/>
        </w:rPr>
        <w:t xml:space="preserve">Eisenhardt and Martin, 2000; </w:t>
      </w:r>
      <w:r w:rsidR="004C4E05" w:rsidRPr="006E496D">
        <w:rPr>
          <w:color w:val="000000" w:themeColor="text1"/>
        </w:rPr>
        <w:fldChar w:fldCharType="begin"/>
      </w:r>
      <w:r w:rsidR="004C4E05" w:rsidRPr="006E496D">
        <w:rPr>
          <w:color w:val="000000" w:themeColor="text1"/>
        </w:rPr>
        <w:instrText xml:space="preserve"> ADDIN EN.CITE &lt;EndNote&gt;&lt;Cite&gt;&lt;Author&gt;Pentland&lt;/Author&gt;&lt;Year&gt;2012&lt;/Year&gt;&lt;RecNum&gt;387&lt;/RecNum&gt;&lt;DisplayText&gt;(Pentland&lt;style face="italic"&gt; et al.&lt;/style&gt;, 2012)&lt;/DisplayText&gt;&lt;record&gt;&lt;rec-number&gt;387&lt;/rec-number&gt;&lt;foreign-keys&gt;&lt;key app="EN" db-id="dpxvpfx0oe0avpef9pbx5p0wtswavatrfdz5" timestamp="0"&gt;387&lt;/key&gt;&lt;/foreign-keys&gt;&lt;ref-type name="Journal Article"&gt;17&lt;/ref-type&gt;&lt;contributors&gt;&lt;authors&gt;&lt;author&gt;Pentland, B.&lt;/author&gt;&lt;author&gt;Feldman, Martha S.&lt;/author&gt;&lt;author&gt;Becker, Markus C.&lt;/author&gt;&lt;author&gt;Liu, Peng&lt;/author&gt;&lt;/authors&gt;&lt;/contributors&gt;&lt;titles&gt;&lt;title&gt;Dynamics of Organizational Routines: A Generative Model&lt;/title&gt;&lt;secondary-title&gt;Journal of Management Studies&lt;/secondary-title&gt;&lt;/titles&gt;&lt;periodical&gt;&lt;full-title&gt;Journal of Management Studies&lt;/full-title&gt;&lt;/periodical&gt;&lt;pages&gt;1484-1508&lt;/pages&gt;&lt;volume&gt;49&lt;/volume&gt;&lt;number&gt;8&lt;/number&gt;&lt;keywords&gt;&lt;keyword&gt;organizational capabilities&lt;/keyword&gt;&lt;keyword&gt;organizational routines&lt;/keyword&gt;&lt;keyword&gt;path dependence&lt;/keyword&gt;&lt;keyword&gt;patterns of action&lt;/keyword&gt;&lt;keyword&gt;sociomaterial systems&lt;/keyword&gt;&lt;keyword&gt;variation and selective retention&lt;/keyword&gt;&lt;/keywords&gt;&lt;dates&gt;&lt;year&gt;2012&lt;/year&gt;&lt;/dates&gt;&lt;publisher&gt;Blackwell Publishing Ltd&lt;/publisher&gt;&lt;isbn&gt;1467-6486&lt;/isbn&gt;&lt;urls&gt;&lt;related-urls&gt;&lt;url&gt;http://dx.doi.org/10.1111/j.1467-6486.2012.01064.x&lt;/url&gt;&lt;/related-urls&gt;&lt;/urls&gt;&lt;electronic-resource-num&gt;10.1111/j.1467-6486.2012.01064.x&lt;/electronic-resource-num&gt;&lt;/record&gt;&lt;/Cite&gt;&lt;/EndNote&gt;</w:instrText>
      </w:r>
      <w:r w:rsidR="004C4E05" w:rsidRPr="006E496D">
        <w:rPr>
          <w:color w:val="000000" w:themeColor="text1"/>
        </w:rPr>
        <w:fldChar w:fldCharType="separate"/>
      </w:r>
      <w:r w:rsidR="004C4E05" w:rsidRPr="006E496D">
        <w:rPr>
          <w:noProof/>
          <w:color w:val="000000" w:themeColor="text1"/>
        </w:rPr>
        <w:t>Pentland</w:t>
      </w:r>
      <w:r w:rsidR="004C4E05" w:rsidRPr="006E496D">
        <w:rPr>
          <w:i/>
          <w:noProof/>
          <w:color w:val="000000" w:themeColor="text1"/>
        </w:rPr>
        <w:t xml:space="preserve"> et</w:t>
      </w:r>
      <w:r w:rsidR="004C4E05" w:rsidRPr="006E496D">
        <w:rPr>
          <w:iCs/>
          <w:noProof/>
          <w:color w:val="000000" w:themeColor="text1"/>
        </w:rPr>
        <w:t xml:space="preserve"> </w:t>
      </w:r>
      <w:r w:rsidR="004C4E05" w:rsidRPr="006E496D">
        <w:rPr>
          <w:i/>
          <w:noProof/>
          <w:color w:val="000000" w:themeColor="text1"/>
        </w:rPr>
        <w:t>al.</w:t>
      </w:r>
      <w:r w:rsidR="004C4E05" w:rsidRPr="006E496D">
        <w:rPr>
          <w:noProof/>
          <w:color w:val="000000" w:themeColor="text1"/>
        </w:rPr>
        <w:t>, 2012;</w:t>
      </w:r>
      <w:r w:rsidR="004C4E05" w:rsidRPr="006E496D">
        <w:t xml:space="preserve"> Teece and Leih, 2016;</w:t>
      </w:r>
      <w:r w:rsidR="004C4E05" w:rsidRPr="006E496D">
        <w:rPr>
          <w:color w:val="000000" w:themeColor="text1"/>
        </w:rPr>
        <w:t xml:space="preserve"> Schoemaker </w:t>
      </w:r>
      <w:r w:rsidR="004C4E05" w:rsidRPr="006E496D">
        <w:rPr>
          <w:i/>
          <w:iCs/>
          <w:color w:val="000000" w:themeColor="text1"/>
        </w:rPr>
        <w:t>et al</w:t>
      </w:r>
      <w:r w:rsidR="004C4E05" w:rsidRPr="006E496D">
        <w:rPr>
          <w:color w:val="000000" w:themeColor="text1"/>
        </w:rPr>
        <w:t>., 2018</w:t>
      </w:r>
      <w:r w:rsidR="004C4E05" w:rsidRPr="006E496D">
        <w:rPr>
          <w:noProof/>
          <w:color w:val="000000" w:themeColor="text1"/>
        </w:rPr>
        <w:t>)</w:t>
      </w:r>
      <w:r w:rsidR="004C4E05" w:rsidRPr="006E496D">
        <w:rPr>
          <w:color w:val="000000" w:themeColor="text1"/>
        </w:rPr>
        <w:fldChar w:fldCharType="end"/>
      </w:r>
      <w:r w:rsidR="004C4E05">
        <w:rPr>
          <w:color w:val="000000" w:themeColor="text1"/>
        </w:rPr>
        <w:t>,</w:t>
      </w:r>
      <w:r w:rsidR="004C4E05" w:rsidRPr="006E496D">
        <w:rPr>
          <w:color w:val="000000" w:themeColor="text1"/>
        </w:rPr>
        <w:t xml:space="preserve"> </w:t>
      </w:r>
      <w:r w:rsidR="004C4E05">
        <w:rPr>
          <w:color w:val="000000"/>
        </w:rPr>
        <w:t xml:space="preserve">while </w:t>
      </w:r>
      <w:r w:rsidR="007818BD" w:rsidRPr="006E496D">
        <w:rPr>
          <w:color w:val="000000"/>
        </w:rPr>
        <w:t>resilien</w:t>
      </w:r>
      <w:r w:rsidR="007818BD">
        <w:rPr>
          <w:color w:val="000000"/>
        </w:rPr>
        <w:t>t</w:t>
      </w:r>
      <w:r w:rsidR="007818BD" w:rsidRPr="006E496D">
        <w:rPr>
          <w:bCs/>
          <w:iCs/>
          <w:color w:val="000000" w:themeColor="text1"/>
        </w:rPr>
        <w:t xml:space="preserve"> </w:t>
      </w:r>
      <w:r w:rsidR="004C4E05" w:rsidRPr="006E496D">
        <w:rPr>
          <w:bCs/>
          <w:iCs/>
          <w:color w:val="000000" w:themeColor="text1"/>
        </w:rPr>
        <w:t>organisations</w:t>
      </w:r>
      <w:r w:rsidR="007818BD">
        <w:rPr>
          <w:bCs/>
          <w:iCs/>
          <w:color w:val="000000" w:themeColor="text1"/>
        </w:rPr>
        <w:t>,</w:t>
      </w:r>
      <w:r w:rsidR="004C4E05" w:rsidRPr="006E496D">
        <w:rPr>
          <w:bCs/>
          <w:iCs/>
          <w:color w:val="000000" w:themeColor="text1"/>
        </w:rPr>
        <w:t xml:space="preserve"> </w:t>
      </w:r>
      <w:r w:rsidR="007818BD">
        <w:rPr>
          <w:bCs/>
          <w:iCs/>
          <w:color w:val="000000" w:themeColor="text1"/>
        </w:rPr>
        <w:t xml:space="preserve">in effect, </w:t>
      </w:r>
      <w:r w:rsidR="004C4E05" w:rsidRPr="006E496D">
        <w:t>demonstrate abilities to shape, reshape, configure and reconfigure, resources and capability routines (</w:t>
      </w:r>
      <w:proofErr w:type="spellStart"/>
      <w:r w:rsidR="004C4E05" w:rsidRPr="006E496D">
        <w:t>Helfat</w:t>
      </w:r>
      <w:proofErr w:type="spellEnd"/>
      <w:r w:rsidR="004C4E05" w:rsidRPr="006E496D">
        <w:t xml:space="preserve"> and </w:t>
      </w:r>
      <w:proofErr w:type="spellStart"/>
      <w:r w:rsidR="004C4E05" w:rsidRPr="006E496D">
        <w:t>Peteraf</w:t>
      </w:r>
      <w:proofErr w:type="spellEnd"/>
      <w:r w:rsidR="004C4E05" w:rsidRPr="006E496D">
        <w:t>, 2003; Teece, 2007, 2011)</w:t>
      </w:r>
      <w:r w:rsidR="004C4E05">
        <w:t xml:space="preserve">, towards the environment that is consistently changing.  </w:t>
      </w:r>
    </w:p>
    <w:p w14:paraId="6CAE2D54" w14:textId="72901E2D" w:rsidR="006A2740" w:rsidRPr="002A1F23" w:rsidRDefault="000A0823" w:rsidP="00D44EBD">
      <w:pPr>
        <w:spacing w:after="120" w:line="480" w:lineRule="auto"/>
        <w:ind w:firstLine="284"/>
        <w:jc w:val="both"/>
        <w:rPr>
          <w:bCs/>
          <w:iCs/>
          <w:color w:val="000000" w:themeColor="text1"/>
        </w:rPr>
      </w:pPr>
      <w:r>
        <w:rPr>
          <w:color w:val="000000" w:themeColor="text1"/>
        </w:rPr>
        <w:t>The above defined stud</w:t>
      </w:r>
      <w:r w:rsidR="001C0016">
        <w:rPr>
          <w:color w:val="000000" w:themeColor="text1"/>
        </w:rPr>
        <w:t>y objectives</w:t>
      </w:r>
      <w:r>
        <w:rPr>
          <w:color w:val="000000" w:themeColor="text1"/>
        </w:rPr>
        <w:t xml:space="preserve"> suggest that we make two major contributions to the extant literature. First, we</w:t>
      </w:r>
      <w:r>
        <w:rPr>
          <w:bCs/>
          <w:iCs/>
          <w:color w:val="000000" w:themeColor="text1"/>
        </w:rPr>
        <w:t xml:space="preserve"> advance the </w:t>
      </w:r>
      <w:r w:rsidR="009F7F0D">
        <w:rPr>
          <w:bCs/>
          <w:iCs/>
          <w:color w:val="000000" w:themeColor="text1"/>
        </w:rPr>
        <w:t>“</w:t>
      </w:r>
      <w:r>
        <w:rPr>
          <w:color w:val="000000" w:themeColor="text1"/>
        </w:rPr>
        <w:t>time-to-build</w:t>
      </w:r>
      <w:r w:rsidR="009F7F0D">
        <w:rPr>
          <w:color w:val="000000" w:themeColor="text1"/>
        </w:rPr>
        <w:t>”</w:t>
      </w:r>
      <w:r>
        <w:rPr>
          <w:bCs/>
          <w:color w:val="000000" w:themeColor="text1"/>
        </w:rPr>
        <w:t xml:space="preserve"> real options</w:t>
      </w:r>
      <w:r>
        <w:rPr>
          <w:bCs/>
          <w:iCs/>
          <w:color w:val="000000" w:themeColor="text1"/>
        </w:rPr>
        <w:t xml:space="preserve"> and contribute to </w:t>
      </w:r>
      <w:r w:rsidR="0006758B">
        <w:rPr>
          <w:bCs/>
          <w:iCs/>
          <w:color w:val="000000" w:themeColor="text1"/>
        </w:rPr>
        <w:t xml:space="preserve">the </w:t>
      </w:r>
      <w:r w:rsidR="0006758B">
        <w:rPr>
          <w:bCs/>
          <w:iCs/>
          <w:color w:val="000000" w:themeColor="text1"/>
        </w:rPr>
        <w:lastRenderedPageBreak/>
        <w:t xml:space="preserve">literature on </w:t>
      </w:r>
      <w:r>
        <w:rPr>
          <w:bCs/>
          <w:color w:val="000000" w:themeColor="text1"/>
        </w:rPr>
        <w:t xml:space="preserve">organisations’ dynamic capability. </w:t>
      </w:r>
      <w:r w:rsidR="005F0575">
        <w:rPr>
          <w:bCs/>
          <w:iCs/>
          <w:color w:val="000000" w:themeColor="text1"/>
        </w:rPr>
        <w:t xml:space="preserve">In </w:t>
      </w:r>
      <w:r w:rsidR="00490E20">
        <w:rPr>
          <w:bCs/>
          <w:iCs/>
          <w:color w:val="000000" w:themeColor="text1"/>
        </w:rPr>
        <w:t>the extant literature,</w:t>
      </w:r>
      <w:r w:rsidR="00C739FA">
        <w:rPr>
          <w:bCs/>
          <w:iCs/>
          <w:color w:val="000000" w:themeColor="text1"/>
        </w:rPr>
        <w:t xml:space="preserve"> </w:t>
      </w:r>
      <w:r w:rsidR="005F0575">
        <w:rPr>
          <w:bCs/>
          <w:iCs/>
          <w:color w:val="000000" w:themeColor="text1"/>
        </w:rPr>
        <w:t>r</w:t>
      </w:r>
      <w:r w:rsidR="00C739FA">
        <w:rPr>
          <w:bCs/>
          <w:iCs/>
          <w:color w:val="000000" w:themeColor="text1"/>
        </w:rPr>
        <w:t>eal options</w:t>
      </w:r>
      <w:r w:rsidR="002A1F23" w:rsidRPr="00EE66FC">
        <w:rPr>
          <w:bCs/>
          <w:iCs/>
          <w:color w:val="000000" w:themeColor="text1"/>
        </w:rPr>
        <w:t xml:space="preserve"> are used to support investment calculation methods (</w:t>
      </w:r>
      <w:proofErr w:type="spellStart"/>
      <w:r w:rsidR="002A1F23" w:rsidRPr="00EE66FC">
        <w:rPr>
          <w:bCs/>
          <w:iCs/>
          <w:color w:val="000000" w:themeColor="text1"/>
        </w:rPr>
        <w:t>Verbeeten</w:t>
      </w:r>
      <w:proofErr w:type="spellEnd"/>
      <w:r w:rsidR="002A1F23" w:rsidRPr="00EE66FC">
        <w:rPr>
          <w:bCs/>
          <w:iCs/>
          <w:color w:val="000000" w:themeColor="text1"/>
        </w:rPr>
        <w:t>, 2006)</w:t>
      </w:r>
      <w:r w:rsidR="002A1F23">
        <w:rPr>
          <w:bCs/>
          <w:iCs/>
          <w:color w:val="000000" w:themeColor="text1"/>
        </w:rPr>
        <w:t xml:space="preserve">, and </w:t>
      </w:r>
      <w:r w:rsidR="00C448FC">
        <w:rPr>
          <w:bCs/>
          <w:iCs/>
          <w:color w:val="000000" w:themeColor="text1"/>
        </w:rPr>
        <w:t>analyse</w:t>
      </w:r>
      <w:r w:rsidR="00C448FC" w:rsidRPr="00EE66FC">
        <w:rPr>
          <w:bCs/>
          <w:iCs/>
          <w:color w:val="000000" w:themeColor="text1"/>
        </w:rPr>
        <w:t xml:space="preserve"> </w:t>
      </w:r>
      <w:r w:rsidR="002A1F23" w:rsidRPr="00EE66FC">
        <w:rPr>
          <w:bCs/>
          <w:iCs/>
          <w:color w:val="000000" w:themeColor="text1"/>
        </w:rPr>
        <w:t>the profitability of strategic investments (</w:t>
      </w:r>
      <w:proofErr w:type="spellStart"/>
      <w:r w:rsidR="002A1F23" w:rsidRPr="00EE66FC">
        <w:rPr>
          <w:bCs/>
          <w:iCs/>
          <w:color w:val="000000" w:themeColor="text1"/>
        </w:rPr>
        <w:t>Tavles</w:t>
      </w:r>
      <w:proofErr w:type="spellEnd"/>
      <w:r w:rsidR="002A1F23" w:rsidRPr="00EE66FC">
        <w:rPr>
          <w:bCs/>
          <w:iCs/>
          <w:color w:val="000000" w:themeColor="text1"/>
        </w:rPr>
        <w:t xml:space="preserve"> </w:t>
      </w:r>
      <w:r w:rsidR="002A1F23" w:rsidRPr="00A8003F">
        <w:rPr>
          <w:bCs/>
          <w:i/>
          <w:color w:val="000000" w:themeColor="text1"/>
        </w:rPr>
        <w:t>et al</w:t>
      </w:r>
      <w:r w:rsidR="002A1F23" w:rsidRPr="00EE66FC">
        <w:rPr>
          <w:bCs/>
          <w:iCs/>
          <w:color w:val="000000" w:themeColor="text1"/>
        </w:rPr>
        <w:t xml:space="preserve">., 2007; McGrath and </w:t>
      </w:r>
      <w:proofErr w:type="spellStart"/>
      <w:r w:rsidR="002A1F23" w:rsidRPr="00EE66FC">
        <w:rPr>
          <w:bCs/>
          <w:iCs/>
          <w:color w:val="000000" w:themeColor="text1"/>
        </w:rPr>
        <w:t>Nerkar</w:t>
      </w:r>
      <w:proofErr w:type="spellEnd"/>
      <w:r w:rsidR="002A1F23" w:rsidRPr="00EE66FC">
        <w:rPr>
          <w:bCs/>
          <w:iCs/>
          <w:color w:val="000000" w:themeColor="text1"/>
        </w:rPr>
        <w:t xml:space="preserve">, 2004). </w:t>
      </w:r>
      <w:r w:rsidR="00392C95">
        <w:rPr>
          <w:bCs/>
          <w:iCs/>
          <w:color w:val="000000" w:themeColor="text1"/>
        </w:rPr>
        <w:t>R</w:t>
      </w:r>
      <w:r w:rsidR="002A1F23">
        <w:rPr>
          <w:bCs/>
          <w:iCs/>
          <w:color w:val="000000" w:themeColor="text1"/>
        </w:rPr>
        <w:t xml:space="preserve">esearch </w:t>
      </w:r>
      <w:r w:rsidR="003D5A9A">
        <w:rPr>
          <w:bCs/>
          <w:iCs/>
          <w:color w:val="000000" w:themeColor="text1"/>
        </w:rPr>
        <w:t>has suggested</w:t>
      </w:r>
      <w:r w:rsidR="002A1F23">
        <w:rPr>
          <w:bCs/>
          <w:iCs/>
          <w:color w:val="000000" w:themeColor="text1"/>
        </w:rPr>
        <w:t xml:space="preserve"> that r</w:t>
      </w:r>
      <w:r w:rsidR="002A1F23" w:rsidRPr="00EE66FC">
        <w:rPr>
          <w:bCs/>
          <w:iCs/>
          <w:color w:val="000000" w:themeColor="text1"/>
        </w:rPr>
        <w:t xml:space="preserve">eal options </w:t>
      </w:r>
      <w:r w:rsidR="002A1F23">
        <w:rPr>
          <w:bCs/>
          <w:iCs/>
          <w:color w:val="000000" w:themeColor="text1"/>
        </w:rPr>
        <w:t xml:space="preserve">allow businesses </w:t>
      </w:r>
      <w:r w:rsidR="006F1E41">
        <w:rPr>
          <w:bCs/>
          <w:iCs/>
          <w:color w:val="000000" w:themeColor="text1"/>
        </w:rPr>
        <w:t>to build their assets flexibly</w:t>
      </w:r>
      <w:r w:rsidR="002A1F23" w:rsidRPr="00EE66FC">
        <w:rPr>
          <w:bCs/>
          <w:iCs/>
          <w:color w:val="000000" w:themeColor="text1"/>
        </w:rPr>
        <w:t xml:space="preserve">, </w:t>
      </w:r>
      <w:r w:rsidR="00C448FC">
        <w:rPr>
          <w:bCs/>
          <w:iCs/>
          <w:color w:val="000000" w:themeColor="text1"/>
        </w:rPr>
        <w:t>considering strategic alternatives</w:t>
      </w:r>
      <w:r w:rsidR="002A1F23" w:rsidRPr="00EE66FC">
        <w:rPr>
          <w:bCs/>
          <w:iCs/>
          <w:color w:val="000000" w:themeColor="text1"/>
        </w:rPr>
        <w:t xml:space="preserve"> when uncertainty is present and </w:t>
      </w:r>
      <w:r w:rsidR="00C448FC">
        <w:rPr>
          <w:bCs/>
          <w:iCs/>
          <w:color w:val="000000" w:themeColor="text1"/>
        </w:rPr>
        <w:t>changing</w:t>
      </w:r>
      <w:r w:rsidR="00C448FC" w:rsidRPr="00EE66FC">
        <w:rPr>
          <w:bCs/>
          <w:iCs/>
          <w:color w:val="000000" w:themeColor="text1"/>
        </w:rPr>
        <w:t xml:space="preserve"> </w:t>
      </w:r>
      <w:r w:rsidR="002A1F23" w:rsidRPr="00EE66FC">
        <w:rPr>
          <w:bCs/>
          <w:iCs/>
          <w:color w:val="000000" w:themeColor="text1"/>
        </w:rPr>
        <w:t>the investment</w:t>
      </w:r>
      <w:r w:rsidR="002A1F23">
        <w:rPr>
          <w:bCs/>
          <w:iCs/>
          <w:color w:val="000000" w:themeColor="text1"/>
        </w:rPr>
        <w:t xml:space="preserve"> </w:t>
      </w:r>
      <w:r w:rsidR="002A1F23" w:rsidRPr="00EE66FC">
        <w:rPr>
          <w:bCs/>
          <w:iCs/>
          <w:color w:val="000000" w:themeColor="text1"/>
        </w:rPr>
        <w:t xml:space="preserve">(Mun, 2006). </w:t>
      </w:r>
      <w:r w:rsidR="001A23D3">
        <w:rPr>
          <w:bCs/>
          <w:iCs/>
          <w:color w:val="000000" w:themeColor="text1"/>
        </w:rPr>
        <w:t>Scholars have shown</w:t>
      </w:r>
      <w:r w:rsidR="002A1F23" w:rsidRPr="00EE66FC">
        <w:rPr>
          <w:bCs/>
          <w:iCs/>
          <w:color w:val="000000" w:themeColor="text1"/>
        </w:rPr>
        <w:t xml:space="preserve"> how financial market</w:t>
      </w:r>
      <w:r w:rsidR="002A1F23">
        <w:rPr>
          <w:bCs/>
          <w:iCs/>
          <w:color w:val="000000" w:themeColor="text1"/>
        </w:rPr>
        <w:t xml:space="preserve"> tools can be used to </w:t>
      </w:r>
      <w:r w:rsidR="002A1F23" w:rsidRPr="00EE66FC">
        <w:rPr>
          <w:bCs/>
          <w:iCs/>
          <w:color w:val="000000" w:themeColor="text1"/>
        </w:rPr>
        <w:t xml:space="preserve">value real options </w:t>
      </w:r>
      <w:r w:rsidR="002A1F23">
        <w:rPr>
          <w:bCs/>
          <w:iCs/>
          <w:color w:val="000000" w:themeColor="text1"/>
        </w:rPr>
        <w:t>in the corporate sector</w:t>
      </w:r>
      <w:r w:rsidR="001A23D3">
        <w:rPr>
          <w:bCs/>
          <w:iCs/>
          <w:color w:val="000000" w:themeColor="text1"/>
        </w:rPr>
        <w:t xml:space="preserve"> (</w:t>
      </w:r>
      <w:r w:rsidR="001A23D3" w:rsidRPr="00EE66FC">
        <w:rPr>
          <w:bCs/>
          <w:iCs/>
          <w:color w:val="000000" w:themeColor="text1"/>
        </w:rPr>
        <w:t xml:space="preserve">Johnston </w:t>
      </w:r>
      <w:r w:rsidR="001A23D3" w:rsidRPr="001F0346">
        <w:rPr>
          <w:bCs/>
          <w:i/>
          <w:color w:val="000000" w:themeColor="text1"/>
        </w:rPr>
        <w:t>et al</w:t>
      </w:r>
      <w:r w:rsidR="001A23D3" w:rsidRPr="00EE66FC">
        <w:rPr>
          <w:bCs/>
          <w:iCs/>
          <w:color w:val="000000" w:themeColor="text1"/>
        </w:rPr>
        <w:t>.</w:t>
      </w:r>
      <w:r w:rsidR="008B55A8">
        <w:rPr>
          <w:bCs/>
          <w:iCs/>
          <w:color w:val="000000" w:themeColor="text1"/>
        </w:rPr>
        <w:t xml:space="preserve">, </w:t>
      </w:r>
      <w:r w:rsidR="001A23D3" w:rsidRPr="00EE66FC">
        <w:rPr>
          <w:bCs/>
          <w:iCs/>
          <w:color w:val="000000" w:themeColor="text1"/>
        </w:rPr>
        <w:t>2008)</w:t>
      </w:r>
      <w:r w:rsidR="001A23D3">
        <w:rPr>
          <w:bCs/>
          <w:iCs/>
          <w:color w:val="000000" w:themeColor="text1"/>
        </w:rPr>
        <w:t xml:space="preserve"> and </w:t>
      </w:r>
      <w:r w:rsidR="002A1F23">
        <w:rPr>
          <w:bCs/>
          <w:iCs/>
          <w:color w:val="000000" w:themeColor="text1"/>
        </w:rPr>
        <w:t xml:space="preserve">the </w:t>
      </w:r>
      <w:r w:rsidR="002A1F23" w:rsidRPr="00EE66FC">
        <w:rPr>
          <w:bCs/>
          <w:iCs/>
          <w:color w:val="000000" w:themeColor="text1"/>
        </w:rPr>
        <w:t xml:space="preserve">ability of </w:t>
      </w:r>
      <w:r w:rsidR="001A23D3">
        <w:rPr>
          <w:bCs/>
          <w:iCs/>
          <w:color w:val="000000" w:themeColor="text1"/>
        </w:rPr>
        <w:t>company managers</w:t>
      </w:r>
      <w:r w:rsidR="002A1F23" w:rsidRPr="00EE66FC">
        <w:rPr>
          <w:bCs/>
          <w:iCs/>
          <w:color w:val="000000" w:themeColor="text1"/>
        </w:rPr>
        <w:t xml:space="preserve"> to delegate investment decisions </w:t>
      </w:r>
      <w:r w:rsidR="002A1F23">
        <w:rPr>
          <w:bCs/>
          <w:iCs/>
          <w:color w:val="000000" w:themeColor="text1"/>
        </w:rPr>
        <w:t xml:space="preserve">and how </w:t>
      </w:r>
      <w:r w:rsidR="002A1F23" w:rsidRPr="00EE66FC">
        <w:rPr>
          <w:bCs/>
          <w:iCs/>
          <w:color w:val="000000" w:themeColor="text1"/>
        </w:rPr>
        <w:t xml:space="preserve">selected performance measures </w:t>
      </w:r>
      <w:r w:rsidR="002A1F23">
        <w:rPr>
          <w:bCs/>
          <w:iCs/>
          <w:color w:val="000000" w:themeColor="text1"/>
        </w:rPr>
        <w:t xml:space="preserve">are </w:t>
      </w:r>
      <w:r w:rsidR="002A1F23" w:rsidRPr="00EE66FC">
        <w:rPr>
          <w:bCs/>
          <w:iCs/>
          <w:color w:val="000000" w:themeColor="text1"/>
        </w:rPr>
        <w:t>affected by the real options available</w:t>
      </w:r>
      <w:r w:rsidR="001A23D3">
        <w:rPr>
          <w:bCs/>
          <w:iCs/>
          <w:color w:val="000000" w:themeColor="text1"/>
        </w:rPr>
        <w:t xml:space="preserve"> (</w:t>
      </w:r>
      <w:proofErr w:type="spellStart"/>
      <w:r w:rsidR="001A23D3" w:rsidRPr="00EE66FC">
        <w:rPr>
          <w:bCs/>
          <w:iCs/>
          <w:color w:val="000000" w:themeColor="text1"/>
        </w:rPr>
        <w:t>Baldenius</w:t>
      </w:r>
      <w:proofErr w:type="spellEnd"/>
      <w:r w:rsidR="001A23D3" w:rsidRPr="00EE66FC">
        <w:rPr>
          <w:bCs/>
          <w:iCs/>
          <w:color w:val="000000" w:themeColor="text1"/>
        </w:rPr>
        <w:t xml:space="preserve"> </w:t>
      </w:r>
      <w:r w:rsidR="001A23D3" w:rsidRPr="00A8003F">
        <w:rPr>
          <w:bCs/>
          <w:i/>
          <w:color w:val="000000" w:themeColor="text1"/>
        </w:rPr>
        <w:t>et al.</w:t>
      </w:r>
      <w:r w:rsidR="008B55A8">
        <w:rPr>
          <w:bCs/>
          <w:i/>
          <w:color w:val="000000" w:themeColor="text1"/>
        </w:rPr>
        <w:t>,</w:t>
      </w:r>
      <w:r w:rsidR="001A23D3" w:rsidRPr="00EE66FC">
        <w:rPr>
          <w:bCs/>
          <w:iCs/>
          <w:color w:val="000000" w:themeColor="text1"/>
        </w:rPr>
        <w:t xml:space="preserve"> 2016)</w:t>
      </w:r>
      <w:r w:rsidR="001A23D3">
        <w:rPr>
          <w:bCs/>
          <w:iCs/>
          <w:color w:val="000000" w:themeColor="text1"/>
        </w:rPr>
        <w:t>.</w:t>
      </w:r>
      <w:r w:rsidR="001A23D3" w:rsidRPr="00EE66FC">
        <w:rPr>
          <w:bCs/>
          <w:iCs/>
          <w:color w:val="000000" w:themeColor="text1"/>
        </w:rPr>
        <w:t xml:space="preserve"> </w:t>
      </w:r>
      <w:r w:rsidR="00C17132">
        <w:rPr>
          <w:bCs/>
          <w:iCs/>
          <w:color w:val="000000" w:themeColor="text1"/>
        </w:rPr>
        <w:t>W</w:t>
      </w:r>
      <w:r w:rsidR="000910F0">
        <w:rPr>
          <w:bCs/>
          <w:iCs/>
          <w:color w:val="000000" w:themeColor="text1"/>
        </w:rPr>
        <w:t>e</w:t>
      </w:r>
      <w:r w:rsidR="0028183C">
        <w:rPr>
          <w:bCs/>
          <w:iCs/>
          <w:color w:val="000000" w:themeColor="text1"/>
        </w:rPr>
        <w:t xml:space="preserve"> </w:t>
      </w:r>
      <w:r w:rsidR="00676134">
        <w:rPr>
          <w:bCs/>
          <w:iCs/>
          <w:color w:val="000000" w:themeColor="text1"/>
        </w:rPr>
        <w:t xml:space="preserve">show </w:t>
      </w:r>
      <w:r w:rsidR="0006758B">
        <w:rPr>
          <w:bCs/>
          <w:iCs/>
          <w:color w:val="000000" w:themeColor="text1"/>
        </w:rPr>
        <w:t xml:space="preserve">how </w:t>
      </w:r>
      <w:r w:rsidR="000910F0">
        <w:rPr>
          <w:bCs/>
          <w:iCs/>
          <w:color w:val="000000" w:themeColor="text1"/>
        </w:rPr>
        <w:t xml:space="preserve">ROA </w:t>
      </w:r>
      <w:r w:rsidR="0006758B">
        <w:rPr>
          <w:bCs/>
          <w:iCs/>
          <w:color w:val="000000" w:themeColor="text1"/>
        </w:rPr>
        <w:t>build</w:t>
      </w:r>
      <w:r w:rsidR="00EA00B2">
        <w:rPr>
          <w:bCs/>
          <w:iCs/>
          <w:color w:val="000000" w:themeColor="text1"/>
        </w:rPr>
        <w:t>s</w:t>
      </w:r>
      <w:r w:rsidR="0006758B">
        <w:rPr>
          <w:bCs/>
          <w:iCs/>
          <w:color w:val="000000" w:themeColor="text1"/>
        </w:rPr>
        <w:t xml:space="preserve"> up the characteristics of dynamic capabilities </w:t>
      </w:r>
      <w:r w:rsidR="00177D52">
        <w:rPr>
          <w:bCs/>
          <w:iCs/>
          <w:color w:val="000000" w:themeColor="text1"/>
        </w:rPr>
        <w:t xml:space="preserve">that </w:t>
      </w:r>
      <w:r w:rsidR="000910F0">
        <w:rPr>
          <w:bCs/>
          <w:iCs/>
          <w:color w:val="000000" w:themeColor="text1"/>
        </w:rPr>
        <w:t xml:space="preserve">are primarily concerned with the functions in discovery and creation of connections to fulfil expectation values, </w:t>
      </w:r>
      <w:r w:rsidR="00A00B5A">
        <w:rPr>
          <w:bCs/>
          <w:iCs/>
          <w:color w:val="000000" w:themeColor="text1"/>
        </w:rPr>
        <w:t xml:space="preserve">rather </w:t>
      </w:r>
      <w:r w:rsidR="000910F0">
        <w:rPr>
          <w:bCs/>
          <w:iCs/>
          <w:color w:val="000000" w:themeColor="text1"/>
        </w:rPr>
        <w:t xml:space="preserve">than having failed to perceive them. </w:t>
      </w:r>
      <w:r w:rsidR="00C17132">
        <w:rPr>
          <w:bCs/>
          <w:iCs/>
          <w:color w:val="000000" w:themeColor="text1"/>
        </w:rPr>
        <w:t xml:space="preserve">We explore </w:t>
      </w:r>
      <w:r w:rsidR="000910F0">
        <w:rPr>
          <w:bCs/>
          <w:iCs/>
          <w:color w:val="000000" w:themeColor="text1"/>
        </w:rPr>
        <w:t xml:space="preserve">the </w:t>
      </w:r>
      <w:r w:rsidR="005435FF">
        <w:rPr>
          <w:bCs/>
          <w:iCs/>
          <w:color w:val="000000" w:themeColor="text1"/>
        </w:rPr>
        <w:t>relationship</w:t>
      </w:r>
      <w:r w:rsidR="000910F0">
        <w:rPr>
          <w:bCs/>
          <w:iCs/>
          <w:color w:val="000000" w:themeColor="text1"/>
        </w:rPr>
        <w:t xml:space="preserve">s that have option value may have remained ‘hidden in plain sight’ </w:t>
      </w:r>
      <w:r w:rsidR="00A00B5A">
        <w:rPr>
          <w:bCs/>
          <w:iCs/>
          <w:color w:val="000000" w:themeColor="text1"/>
        </w:rPr>
        <w:t>and</w:t>
      </w:r>
      <w:r w:rsidR="000910F0">
        <w:rPr>
          <w:bCs/>
          <w:iCs/>
          <w:color w:val="000000" w:themeColor="text1"/>
        </w:rPr>
        <w:t xml:space="preserve"> remain to be created or discovered </w:t>
      </w:r>
      <w:r w:rsidR="00EA00B2">
        <w:rPr>
          <w:bCs/>
          <w:iCs/>
          <w:color w:val="000000" w:themeColor="text1"/>
        </w:rPr>
        <w:t xml:space="preserve">while </w:t>
      </w:r>
      <w:r w:rsidR="00EA00B2">
        <w:t>critically,</w:t>
      </w:r>
      <w:r w:rsidR="00B85BEA">
        <w:t xml:space="preserve"> </w:t>
      </w:r>
      <w:r w:rsidR="00E62693">
        <w:rPr>
          <w:bCs/>
          <w:color w:val="000000" w:themeColor="text1"/>
        </w:rPr>
        <w:t>options</w:t>
      </w:r>
      <w:r w:rsidR="00E62693">
        <w:rPr>
          <w:color w:val="000000" w:themeColor="text1"/>
        </w:rPr>
        <w:t xml:space="preserve"> </w:t>
      </w:r>
      <w:r w:rsidR="00AA53D3">
        <w:rPr>
          <w:color w:val="000000" w:themeColor="text1"/>
        </w:rPr>
        <w:t>evolv</w:t>
      </w:r>
      <w:r w:rsidR="00A00B5A">
        <w:rPr>
          <w:color w:val="000000" w:themeColor="text1"/>
        </w:rPr>
        <w:t>e</w:t>
      </w:r>
      <w:r w:rsidR="00AA53D3">
        <w:rPr>
          <w:color w:val="000000" w:themeColor="text1"/>
        </w:rPr>
        <w:t xml:space="preserve"> </w:t>
      </w:r>
      <w:r w:rsidR="00AA53D3">
        <w:rPr>
          <w:bCs/>
          <w:color w:val="000000" w:themeColor="text1"/>
        </w:rPr>
        <w:t>with</w:t>
      </w:r>
      <w:r w:rsidR="00B85BEA">
        <w:rPr>
          <w:bCs/>
          <w:color w:val="000000" w:themeColor="text1"/>
        </w:rPr>
        <w:t xml:space="preserve"> emerging uncertainty whereby </w:t>
      </w:r>
      <w:r w:rsidR="00E62693">
        <w:rPr>
          <w:color w:val="000000" w:themeColor="text1"/>
        </w:rPr>
        <w:t xml:space="preserve">the decision process (DP) </w:t>
      </w:r>
      <w:r w:rsidR="00B85BEA">
        <w:rPr>
          <w:bCs/>
          <w:color w:val="000000" w:themeColor="text1"/>
        </w:rPr>
        <w:t>correlate</w:t>
      </w:r>
      <w:r w:rsidR="00E62693">
        <w:rPr>
          <w:bCs/>
          <w:color w:val="000000" w:themeColor="text1"/>
        </w:rPr>
        <w:t>s</w:t>
      </w:r>
      <w:r w:rsidR="00B85BEA">
        <w:rPr>
          <w:bCs/>
          <w:color w:val="000000" w:themeColor="text1"/>
        </w:rPr>
        <w:t xml:space="preserve"> with </w:t>
      </w:r>
      <w:r w:rsidR="00E62693">
        <w:rPr>
          <w:bCs/>
          <w:color w:val="000000" w:themeColor="text1"/>
        </w:rPr>
        <w:t xml:space="preserve">both </w:t>
      </w:r>
      <w:r w:rsidR="00451473">
        <w:rPr>
          <w:bCs/>
          <w:color w:val="000000" w:themeColor="text1"/>
        </w:rPr>
        <w:t xml:space="preserve">uncertainty </w:t>
      </w:r>
      <w:r w:rsidR="00E62693">
        <w:rPr>
          <w:bCs/>
          <w:color w:val="000000" w:themeColor="text1"/>
        </w:rPr>
        <w:t>and</w:t>
      </w:r>
      <w:r w:rsidR="00B85BEA">
        <w:rPr>
          <w:bCs/>
          <w:color w:val="000000" w:themeColor="text1"/>
        </w:rPr>
        <w:t xml:space="preserve"> growth opportunities</w:t>
      </w:r>
      <w:r w:rsidR="00B85BEA" w:rsidRPr="00D51AA7">
        <w:rPr>
          <w:color w:val="000000" w:themeColor="text1"/>
        </w:rPr>
        <w:t>.</w:t>
      </w:r>
      <w:r w:rsidR="00B85BEA">
        <w:rPr>
          <w:color w:val="000000" w:themeColor="text1"/>
        </w:rPr>
        <w:t xml:space="preserve"> </w:t>
      </w:r>
      <w:r w:rsidR="009F7F0D">
        <w:rPr>
          <w:color w:val="000000" w:themeColor="text1"/>
        </w:rPr>
        <w:t>In doing so, o</w:t>
      </w:r>
      <w:r>
        <w:rPr>
          <w:color w:val="000000" w:themeColor="text1"/>
        </w:rPr>
        <w:t>ur second contribution lies in t</w:t>
      </w:r>
      <w:r w:rsidR="00C70E9D" w:rsidRPr="00FD2CA7">
        <w:t>he pivotal point</w:t>
      </w:r>
      <w:r>
        <w:t xml:space="preserve"> </w:t>
      </w:r>
      <w:r w:rsidR="001C0016">
        <w:t xml:space="preserve">that </w:t>
      </w:r>
      <w:r w:rsidR="00C70E9D" w:rsidRPr="00FD2CA7">
        <w:t>we bring forward</w:t>
      </w:r>
      <w:r w:rsidR="001C0016">
        <w:t>,</w:t>
      </w:r>
      <w:r>
        <w:t xml:space="preserve"> that is</w:t>
      </w:r>
      <w:r w:rsidR="00C70E9D" w:rsidRPr="00FD2CA7">
        <w:t xml:space="preserve"> how </w:t>
      </w:r>
      <w:r w:rsidR="00C70E9D">
        <w:t>ROA</w:t>
      </w:r>
      <w:r w:rsidR="00C70E9D" w:rsidRPr="00FD2CA7">
        <w:t xml:space="preserve"> impl</w:t>
      </w:r>
      <w:r w:rsidR="00C17132">
        <w:t xml:space="preserve">ies </w:t>
      </w:r>
      <w:r w:rsidR="00C70E9D">
        <w:t xml:space="preserve">for the formation of </w:t>
      </w:r>
      <w:r w:rsidR="00C70E9D" w:rsidRPr="00FD2CA7">
        <w:t>strategy</w:t>
      </w:r>
      <w:r w:rsidR="00E17BEC">
        <w:t xml:space="preserve">, </w:t>
      </w:r>
      <w:r>
        <w:t xml:space="preserve">and </w:t>
      </w:r>
      <w:r w:rsidR="00C17132">
        <w:t xml:space="preserve">how decision-makers </w:t>
      </w:r>
      <w:r w:rsidR="00E62693" w:rsidRPr="00E17BEC">
        <w:rPr>
          <w:iCs/>
        </w:rPr>
        <w:t>exploit</w:t>
      </w:r>
      <w:r w:rsidR="00C17132">
        <w:rPr>
          <w:iCs/>
        </w:rPr>
        <w:t xml:space="preserve"> </w:t>
      </w:r>
      <w:r w:rsidR="00E62693" w:rsidRPr="00FD2CA7">
        <w:t>the theoretical insights</w:t>
      </w:r>
      <w:r w:rsidR="00C17132">
        <w:t xml:space="preserve"> to </w:t>
      </w:r>
      <w:r w:rsidR="00FB1197">
        <w:t xml:space="preserve">generate a </w:t>
      </w:r>
      <w:r w:rsidR="00FB1197">
        <w:rPr>
          <w:color w:val="000000" w:themeColor="text1"/>
        </w:rPr>
        <w:t xml:space="preserve">coherent model </w:t>
      </w:r>
      <w:r w:rsidR="00A00B5A">
        <w:rPr>
          <w:color w:val="000000" w:themeColor="text1"/>
        </w:rPr>
        <w:t xml:space="preserve">for </w:t>
      </w:r>
      <w:r w:rsidR="00FB1197">
        <w:rPr>
          <w:color w:val="000000" w:themeColor="text1"/>
        </w:rPr>
        <w:t xml:space="preserve">dealing with </w:t>
      </w:r>
      <w:r w:rsidR="00C448FC">
        <w:rPr>
          <w:color w:val="000000" w:themeColor="text1"/>
        </w:rPr>
        <w:t xml:space="preserve">the </w:t>
      </w:r>
      <w:r w:rsidR="00FB1197">
        <w:rPr>
          <w:color w:val="000000" w:themeColor="text1"/>
        </w:rPr>
        <w:t>uncertainty of economic organisations</w:t>
      </w:r>
      <w:r w:rsidR="00BF4BB6">
        <w:rPr>
          <w:color w:val="000000" w:themeColor="text1"/>
        </w:rPr>
        <w:t xml:space="preserve"> </w:t>
      </w:r>
      <w:r w:rsidR="00AA6914">
        <w:rPr>
          <w:bCs/>
          <w:iCs/>
          <w:color w:val="000000" w:themeColor="text1"/>
        </w:rPr>
        <w:t>towards resilience</w:t>
      </w:r>
      <w:r w:rsidR="00C17132">
        <w:rPr>
          <w:bCs/>
          <w:iCs/>
          <w:color w:val="000000" w:themeColor="text1"/>
        </w:rPr>
        <w:t xml:space="preserve"> aftermath of the COVID-19 Pandemic</w:t>
      </w:r>
      <w:r w:rsidR="00AA6914">
        <w:rPr>
          <w:bCs/>
          <w:iCs/>
          <w:color w:val="000000" w:themeColor="text1"/>
        </w:rPr>
        <w:t>.</w:t>
      </w:r>
      <w:r w:rsidR="00C70E9D" w:rsidRPr="00C70E9D">
        <w:rPr>
          <w:bCs/>
          <w:color w:val="000000" w:themeColor="text1"/>
        </w:rPr>
        <w:t xml:space="preserve"> </w:t>
      </w:r>
      <w:r w:rsidR="006F4D1F">
        <w:rPr>
          <w:bCs/>
          <w:color w:val="000000" w:themeColor="text1"/>
        </w:rPr>
        <w:t>In the</w:t>
      </w:r>
      <w:r w:rsidR="00090F46">
        <w:rPr>
          <w:bCs/>
          <w:color w:val="000000" w:themeColor="text1"/>
        </w:rPr>
        <w:t xml:space="preserve"> </w:t>
      </w:r>
      <w:r w:rsidR="006F4D1F">
        <w:rPr>
          <w:bCs/>
          <w:color w:val="000000" w:themeColor="text1"/>
        </w:rPr>
        <w:t xml:space="preserve">extant literature, </w:t>
      </w:r>
      <w:r w:rsidR="006F4D1F">
        <w:rPr>
          <w:bCs/>
          <w:iCs/>
          <w:color w:val="000000" w:themeColor="text1"/>
        </w:rPr>
        <w:t>w</w:t>
      </w:r>
      <w:r w:rsidR="00F75A90" w:rsidRPr="00C10F3A">
        <w:rPr>
          <w:bCs/>
          <w:iCs/>
          <w:color w:val="000000" w:themeColor="text1"/>
        </w:rPr>
        <w:t>ith</w:t>
      </w:r>
      <w:r w:rsidR="00F75A90">
        <w:rPr>
          <w:bCs/>
          <w:iCs/>
          <w:color w:val="000000" w:themeColor="text1"/>
        </w:rPr>
        <w:t xml:space="preserve">in </w:t>
      </w:r>
      <w:r w:rsidR="00F75A90" w:rsidRPr="00C10F3A">
        <w:rPr>
          <w:bCs/>
          <w:iCs/>
          <w:color w:val="000000" w:themeColor="text1"/>
        </w:rPr>
        <w:t xml:space="preserve">supply chains (Flynn, </w:t>
      </w:r>
      <w:proofErr w:type="spellStart"/>
      <w:r w:rsidR="00F75A90" w:rsidRPr="00C10F3A">
        <w:rPr>
          <w:bCs/>
          <w:iCs/>
          <w:color w:val="000000" w:themeColor="text1"/>
        </w:rPr>
        <w:t>Koufteros</w:t>
      </w:r>
      <w:proofErr w:type="spellEnd"/>
      <w:r w:rsidR="00F75A90" w:rsidRPr="00C10F3A">
        <w:rPr>
          <w:bCs/>
          <w:iCs/>
          <w:color w:val="000000" w:themeColor="text1"/>
        </w:rPr>
        <w:t xml:space="preserve">, </w:t>
      </w:r>
      <w:r w:rsidR="00F75A90">
        <w:rPr>
          <w:bCs/>
          <w:iCs/>
          <w:color w:val="000000" w:themeColor="text1"/>
        </w:rPr>
        <w:t>and</w:t>
      </w:r>
      <w:r w:rsidR="00F75A90" w:rsidRPr="00C10F3A">
        <w:rPr>
          <w:bCs/>
          <w:iCs/>
          <w:color w:val="000000" w:themeColor="text1"/>
        </w:rPr>
        <w:t xml:space="preserve"> Lu, 2016), real options thinking has been applied to information technology initiatives (</w:t>
      </w:r>
      <w:proofErr w:type="spellStart"/>
      <w:r w:rsidR="00F75A90" w:rsidRPr="00C10F3A">
        <w:rPr>
          <w:bCs/>
          <w:iCs/>
          <w:color w:val="000000" w:themeColor="text1"/>
        </w:rPr>
        <w:t>Tiwana</w:t>
      </w:r>
      <w:proofErr w:type="spellEnd"/>
      <w:r w:rsidR="00F75A90" w:rsidRPr="00C10F3A">
        <w:rPr>
          <w:bCs/>
          <w:iCs/>
          <w:color w:val="000000" w:themeColor="text1"/>
        </w:rPr>
        <w:t xml:space="preserve">, Wang, Keil, </w:t>
      </w:r>
      <w:r w:rsidR="00F75A90">
        <w:rPr>
          <w:bCs/>
          <w:iCs/>
          <w:color w:val="000000" w:themeColor="text1"/>
        </w:rPr>
        <w:t>and</w:t>
      </w:r>
      <w:r w:rsidR="00F75A90" w:rsidRPr="00C10F3A">
        <w:rPr>
          <w:bCs/>
          <w:iCs/>
          <w:color w:val="000000" w:themeColor="text1"/>
        </w:rPr>
        <w:t xml:space="preserve"> Ahluwalia, 2007), and other supply chain projects (</w:t>
      </w:r>
      <w:proofErr w:type="spellStart"/>
      <w:r w:rsidR="00F75A90" w:rsidRPr="00C10F3A">
        <w:rPr>
          <w:bCs/>
          <w:iCs/>
          <w:color w:val="000000" w:themeColor="text1"/>
        </w:rPr>
        <w:t>Hult</w:t>
      </w:r>
      <w:proofErr w:type="spellEnd"/>
      <w:r w:rsidR="00F75A90" w:rsidRPr="00C10F3A">
        <w:rPr>
          <w:bCs/>
          <w:iCs/>
          <w:color w:val="000000" w:themeColor="text1"/>
        </w:rPr>
        <w:t xml:space="preserve">, </w:t>
      </w:r>
      <w:proofErr w:type="spellStart"/>
      <w:r w:rsidR="00F75A90" w:rsidRPr="00C10F3A">
        <w:rPr>
          <w:bCs/>
          <w:iCs/>
          <w:color w:val="000000" w:themeColor="text1"/>
        </w:rPr>
        <w:t>Craighead</w:t>
      </w:r>
      <w:proofErr w:type="spellEnd"/>
      <w:r w:rsidR="00F75A90" w:rsidRPr="00C10F3A">
        <w:rPr>
          <w:bCs/>
          <w:iCs/>
          <w:color w:val="000000" w:themeColor="text1"/>
        </w:rPr>
        <w:t xml:space="preserve">, </w:t>
      </w:r>
      <w:r w:rsidR="00F75A90">
        <w:rPr>
          <w:bCs/>
          <w:iCs/>
          <w:color w:val="000000" w:themeColor="text1"/>
        </w:rPr>
        <w:t>and</w:t>
      </w:r>
      <w:r w:rsidR="00F75A90" w:rsidRPr="00C10F3A">
        <w:rPr>
          <w:bCs/>
          <w:iCs/>
          <w:color w:val="000000" w:themeColor="text1"/>
        </w:rPr>
        <w:t xml:space="preserve"> </w:t>
      </w:r>
      <w:proofErr w:type="spellStart"/>
      <w:r w:rsidR="00F75A90" w:rsidRPr="00C10F3A">
        <w:rPr>
          <w:bCs/>
          <w:iCs/>
          <w:color w:val="000000" w:themeColor="text1"/>
        </w:rPr>
        <w:t>Ketchen</w:t>
      </w:r>
      <w:proofErr w:type="spellEnd"/>
      <w:r w:rsidR="00F75A90" w:rsidRPr="00C10F3A">
        <w:rPr>
          <w:bCs/>
          <w:iCs/>
          <w:color w:val="000000" w:themeColor="text1"/>
        </w:rPr>
        <w:t xml:space="preserve">, 2010). </w:t>
      </w:r>
      <w:r w:rsidR="00F75A90">
        <w:rPr>
          <w:bCs/>
          <w:iCs/>
          <w:color w:val="000000" w:themeColor="text1"/>
        </w:rPr>
        <w:t>Real options</w:t>
      </w:r>
      <w:r w:rsidR="00B318BE">
        <w:rPr>
          <w:bCs/>
          <w:iCs/>
          <w:color w:val="000000" w:themeColor="text1"/>
        </w:rPr>
        <w:t xml:space="preserve"> </w:t>
      </w:r>
      <w:r w:rsidR="00B318BE" w:rsidRPr="00E11432">
        <w:rPr>
          <w:bCs/>
          <w:iCs/>
          <w:color w:val="000000" w:themeColor="text1"/>
        </w:rPr>
        <w:t xml:space="preserve">conceptual </w:t>
      </w:r>
      <w:r w:rsidR="00B318BE">
        <w:rPr>
          <w:bCs/>
          <w:iCs/>
          <w:color w:val="000000" w:themeColor="text1"/>
        </w:rPr>
        <w:t>frameworks</w:t>
      </w:r>
      <w:r w:rsidR="00B318BE" w:rsidRPr="00E11432">
        <w:rPr>
          <w:bCs/>
          <w:iCs/>
          <w:color w:val="000000" w:themeColor="text1"/>
        </w:rPr>
        <w:t xml:space="preserve"> </w:t>
      </w:r>
      <w:r w:rsidR="00B318BE">
        <w:rPr>
          <w:bCs/>
          <w:iCs/>
          <w:color w:val="000000" w:themeColor="text1"/>
        </w:rPr>
        <w:t xml:space="preserve">have </w:t>
      </w:r>
      <w:r w:rsidR="00F75A90">
        <w:rPr>
          <w:bCs/>
          <w:iCs/>
          <w:color w:val="000000" w:themeColor="text1"/>
        </w:rPr>
        <w:t xml:space="preserve">also </w:t>
      </w:r>
      <w:r w:rsidR="00B318BE">
        <w:rPr>
          <w:bCs/>
          <w:iCs/>
          <w:color w:val="000000" w:themeColor="text1"/>
        </w:rPr>
        <w:t xml:space="preserve">been used for </w:t>
      </w:r>
      <w:r w:rsidR="00B318BE" w:rsidRPr="00E11432">
        <w:rPr>
          <w:bCs/>
          <w:iCs/>
          <w:color w:val="000000" w:themeColor="text1"/>
        </w:rPr>
        <w:t>stud</w:t>
      </w:r>
      <w:r w:rsidR="00B318BE">
        <w:rPr>
          <w:bCs/>
          <w:iCs/>
          <w:color w:val="000000" w:themeColor="text1"/>
        </w:rPr>
        <w:t xml:space="preserve">ies of firm </w:t>
      </w:r>
      <w:r w:rsidR="00B318BE" w:rsidRPr="00814CB0">
        <w:rPr>
          <w:bCs/>
          <w:iCs/>
          <w:color w:val="000000" w:themeColor="text1"/>
        </w:rPr>
        <w:t>resources</w:t>
      </w:r>
      <w:r w:rsidR="00B318BE">
        <w:rPr>
          <w:bCs/>
          <w:iCs/>
          <w:color w:val="000000" w:themeColor="text1"/>
        </w:rPr>
        <w:t xml:space="preserve"> </w:t>
      </w:r>
      <w:r w:rsidR="00B318BE" w:rsidRPr="00814CB0">
        <w:rPr>
          <w:bCs/>
          <w:iCs/>
          <w:color w:val="000000" w:themeColor="text1"/>
        </w:rPr>
        <w:t>and capabilities (</w:t>
      </w:r>
      <w:r w:rsidR="00B318BE" w:rsidRPr="00920FE0">
        <w:rPr>
          <w:bCs/>
          <w:iCs/>
          <w:color w:val="000000" w:themeColor="text1"/>
        </w:rPr>
        <w:t xml:space="preserve">Dierickx </w:t>
      </w:r>
      <w:r w:rsidR="00B318BE">
        <w:rPr>
          <w:bCs/>
          <w:iCs/>
          <w:color w:val="000000" w:themeColor="text1"/>
        </w:rPr>
        <w:t xml:space="preserve">and </w:t>
      </w:r>
      <w:r w:rsidR="00B318BE" w:rsidRPr="00920FE0">
        <w:rPr>
          <w:bCs/>
          <w:iCs/>
          <w:color w:val="000000" w:themeColor="text1"/>
        </w:rPr>
        <w:t>Cool, 1989</w:t>
      </w:r>
      <w:r w:rsidR="00B318BE">
        <w:rPr>
          <w:bCs/>
          <w:iCs/>
          <w:color w:val="000000" w:themeColor="text1"/>
        </w:rPr>
        <w:t xml:space="preserve">; </w:t>
      </w:r>
      <w:proofErr w:type="spellStart"/>
      <w:r w:rsidR="00B318BE" w:rsidRPr="00814CB0">
        <w:rPr>
          <w:bCs/>
          <w:iCs/>
          <w:color w:val="000000" w:themeColor="text1"/>
        </w:rPr>
        <w:t>Kyla¨heiko</w:t>
      </w:r>
      <w:proofErr w:type="spellEnd"/>
      <w:r w:rsidR="00B318BE" w:rsidRPr="00814CB0">
        <w:rPr>
          <w:bCs/>
          <w:iCs/>
          <w:color w:val="000000" w:themeColor="text1"/>
        </w:rPr>
        <w:t xml:space="preserve"> </w:t>
      </w:r>
      <w:r w:rsidR="00B318BE" w:rsidRPr="008B55A8">
        <w:rPr>
          <w:bCs/>
          <w:i/>
          <w:color w:val="000000" w:themeColor="text1"/>
        </w:rPr>
        <w:t>et al</w:t>
      </w:r>
      <w:r w:rsidR="00B318BE" w:rsidRPr="00814CB0">
        <w:rPr>
          <w:bCs/>
          <w:iCs/>
          <w:color w:val="000000" w:themeColor="text1"/>
        </w:rPr>
        <w:t>., 2002)</w:t>
      </w:r>
      <w:r w:rsidR="00B318BE">
        <w:rPr>
          <w:bCs/>
          <w:iCs/>
          <w:color w:val="000000" w:themeColor="text1"/>
        </w:rPr>
        <w:t xml:space="preserve"> and </w:t>
      </w:r>
      <w:r w:rsidR="00B318BE" w:rsidRPr="00814CB0">
        <w:rPr>
          <w:bCs/>
          <w:iCs/>
          <w:color w:val="000000" w:themeColor="text1"/>
        </w:rPr>
        <w:t xml:space="preserve">networks of reserves </w:t>
      </w:r>
      <w:r w:rsidR="00B318BE">
        <w:rPr>
          <w:bCs/>
          <w:iCs/>
          <w:color w:val="000000" w:themeColor="text1"/>
        </w:rPr>
        <w:t xml:space="preserve">and flexibility </w:t>
      </w:r>
      <w:r w:rsidR="00B318BE" w:rsidRPr="00814CB0">
        <w:rPr>
          <w:bCs/>
          <w:iCs/>
          <w:color w:val="000000" w:themeColor="text1"/>
        </w:rPr>
        <w:t>(</w:t>
      </w:r>
      <w:proofErr w:type="spellStart"/>
      <w:r w:rsidR="00B318BE" w:rsidRPr="00814CB0">
        <w:rPr>
          <w:bCs/>
          <w:iCs/>
          <w:color w:val="000000" w:themeColor="text1"/>
        </w:rPr>
        <w:t>Loasby</w:t>
      </w:r>
      <w:proofErr w:type="spellEnd"/>
      <w:r w:rsidR="00B318BE" w:rsidRPr="00814CB0">
        <w:rPr>
          <w:bCs/>
          <w:iCs/>
          <w:color w:val="000000" w:themeColor="text1"/>
        </w:rPr>
        <w:t>, 2002</w:t>
      </w:r>
      <w:r w:rsidR="00B318BE">
        <w:rPr>
          <w:bCs/>
          <w:iCs/>
          <w:color w:val="000000" w:themeColor="text1"/>
        </w:rPr>
        <w:t>; Potts, 2000</w:t>
      </w:r>
      <w:r w:rsidR="00B318BE" w:rsidRPr="00814CB0">
        <w:rPr>
          <w:bCs/>
          <w:iCs/>
          <w:color w:val="000000" w:themeColor="text1"/>
        </w:rPr>
        <w:t>)</w:t>
      </w:r>
      <w:r w:rsidR="00B318BE">
        <w:rPr>
          <w:bCs/>
          <w:iCs/>
          <w:color w:val="000000" w:themeColor="text1"/>
        </w:rPr>
        <w:t>, modelling lags theoretical developments in complex environments.</w:t>
      </w:r>
      <w:r w:rsidR="006F4D1F">
        <w:rPr>
          <w:bCs/>
          <w:iCs/>
          <w:color w:val="000000" w:themeColor="text1"/>
        </w:rPr>
        <w:t xml:space="preserve"> Within our objectives, </w:t>
      </w:r>
      <w:r w:rsidR="006F4D1F">
        <w:rPr>
          <w:bCs/>
          <w:color w:val="000000" w:themeColor="text1"/>
        </w:rPr>
        <w:t xml:space="preserve">we demonstrate how and why “deferral” and “abundant” options can </w:t>
      </w:r>
      <w:r w:rsidR="0073207E">
        <w:rPr>
          <w:bCs/>
          <w:color w:val="000000" w:themeColor="text1"/>
        </w:rPr>
        <w:t xml:space="preserve">be also </w:t>
      </w:r>
      <w:r w:rsidR="006F4D1F">
        <w:rPr>
          <w:bCs/>
          <w:color w:val="000000" w:themeColor="text1"/>
        </w:rPr>
        <w:t>disadvantages</w:t>
      </w:r>
      <w:r w:rsidR="001C0016">
        <w:rPr>
          <w:bCs/>
          <w:color w:val="000000" w:themeColor="text1"/>
        </w:rPr>
        <w:t xml:space="preserve"> whilst, on the other hand, why </w:t>
      </w:r>
      <w:r w:rsidR="001C0016">
        <w:rPr>
          <w:bCs/>
          <w:color w:val="000000" w:themeColor="text1"/>
        </w:rPr>
        <w:lastRenderedPageBreak/>
        <w:t xml:space="preserve">compound switch is </w:t>
      </w:r>
      <w:r w:rsidR="00EA00B2">
        <w:rPr>
          <w:bCs/>
          <w:color w:val="000000" w:themeColor="text1"/>
        </w:rPr>
        <w:t>advantageous</w:t>
      </w:r>
      <w:r w:rsidR="006F4D1F">
        <w:rPr>
          <w:bCs/>
          <w:color w:val="000000" w:themeColor="text1"/>
        </w:rPr>
        <w:t xml:space="preserve">. </w:t>
      </w:r>
      <w:r w:rsidR="0073207E">
        <w:rPr>
          <w:bCs/>
          <w:color w:val="000000" w:themeColor="text1"/>
        </w:rPr>
        <w:t xml:space="preserve">This is </w:t>
      </w:r>
      <w:r w:rsidR="006F4D1F">
        <w:rPr>
          <w:bCs/>
          <w:color w:val="000000" w:themeColor="text1"/>
        </w:rPr>
        <w:t>a step advanced move</w:t>
      </w:r>
      <w:r w:rsidR="0073207E">
        <w:rPr>
          <w:bCs/>
          <w:color w:val="000000" w:themeColor="text1"/>
        </w:rPr>
        <w:t xml:space="preserve"> in research</w:t>
      </w:r>
      <w:r w:rsidR="006F4D1F">
        <w:rPr>
          <w:bCs/>
          <w:color w:val="000000" w:themeColor="text1"/>
        </w:rPr>
        <w:t xml:space="preserve">, building on </w:t>
      </w:r>
      <w:r w:rsidR="006F4D1F">
        <w:rPr>
          <w:bCs/>
          <w:iCs/>
          <w:color w:val="000000" w:themeColor="text1"/>
        </w:rPr>
        <w:t xml:space="preserve">real options modelling (e.g., </w:t>
      </w:r>
      <w:r w:rsidR="006F4D1F" w:rsidRPr="00E11432">
        <w:rPr>
          <w:bCs/>
          <w:iCs/>
          <w:color w:val="000000" w:themeColor="text1"/>
        </w:rPr>
        <w:t xml:space="preserve">Dixit </w:t>
      </w:r>
      <w:r w:rsidR="006F4D1F">
        <w:rPr>
          <w:bCs/>
          <w:iCs/>
          <w:color w:val="000000" w:themeColor="text1"/>
        </w:rPr>
        <w:t xml:space="preserve">and </w:t>
      </w:r>
      <w:proofErr w:type="spellStart"/>
      <w:r w:rsidR="006F4D1F" w:rsidRPr="00E11432">
        <w:rPr>
          <w:bCs/>
          <w:iCs/>
          <w:color w:val="000000" w:themeColor="text1"/>
        </w:rPr>
        <w:t>Pindyck</w:t>
      </w:r>
      <w:proofErr w:type="spellEnd"/>
      <w:r w:rsidR="006F4D1F" w:rsidRPr="00E11432">
        <w:rPr>
          <w:bCs/>
          <w:iCs/>
          <w:color w:val="000000" w:themeColor="text1"/>
        </w:rPr>
        <w:t xml:space="preserve">, 1994; </w:t>
      </w:r>
      <w:proofErr w:type="spellStart"/>
      <w:r w:rsidR="006F4D1F">
        <w:rPr>
          <w:bCs/>
          <w:iCs/>
          <w:color w:val="000000" w:themeColor="text1"/>
        </w:rPr>
        <w:t>K</w:t>
      </w:r>
      <w:r w:rsidR="006F4D1F" w:rsidRPr="00AC219C">
        <w:rPr>
          <w:bCs/>
          <w:iCs/>
          <w:color w:val="000000" w:themeColor="text1"/>
        </w:rPr>
        <w:t>ogut</w:t>
      </w:r>
      <w:proofErr w:type="spellEnd"/>
      <w:r w:rsidR="006F4D1F" w:rsidRPr="00AC219C">
        <w:rPr>
          <w:bCs/>
          <w:iCs/>
          <w:color w:val="000000" w:themeColor="text1"/>
        </w:rPr>
        <w:t xml:space="preserve"> </w:t>
      </w:r>
      <w:r w:rsidR="006F4D1F">
        <w:rPr>
          <w:bCs/>
          <w:iCs/>
          <w:color w:val="000000" w:themeColor="text1"/>
        </w:rPr>
        <w:t>and</w:t>
      </w:r>
      <w:r w:rsidR="006F4D1F" w:rsidRPr="00AC219C">
        <w:rPr>
          <w:bCs/>
          <w:iCs/>
          <w:color w:val="000000" w:themeColor="text1"/>
        </w:rPr>
        <w:t xml:space="preserve"> </w:t>
      </w:r>
      <w:proofErr w:type="spellStart"/>
      <w:r w:rsidR="006F4D1F" w:rsidRPr="00AC219C">
        <w:rPr>
          <w:bCs/>
          <w:iCs/>
          <w:color w:val="000000" w:themeColor="text1"/>
        </w:rPr>
        <w:t>Kulatilaka</w:t>
      </w:r>
      <w:proofErr w:type="spellEnd"/>
      <w:r w:rsidR="006F4D1F" w:rsidRPr="00AC219C">
        <w:rPr>
          <w:bCs/>
          <w:iCs/>
          <w:color w:val="000000" w:themeColor="text1"/>
        </w:rPr>
        <w:t>, 2001</w:t>
      </w:r>
      <w:r w:rsidR="006F4D1F">
        <w:rPr>
          <w:bCs/>
          <w:iCs/>
          <w:color w:val="000000" w:themeColor="text1"/>
        </w:rPr>
        <w:t xml:space="preserve">; </w:t>
      </w:r>
      <w:proofErr w:type="spellStart"/>
      <w:r w:rsidR="006F4D1F" w:rsidRPr="00E11432">
        <w:rPr>
          <w:bCs/>
          <w:iCs/>
          <w:color w:val="000000" w:themeColor="text1"/>
        </w:rPr>
        <w:t>Trigeorgis</w:t>
      </w:r>
      <w:proofErr w:type="spellEnd"/>
      <w:r w:rsidR="006F4D1F" w:rsidRPr="00E11432">
        <w:rPr>
          <w:bCs/>
          <w:iCs/>
          <w:color w:val="000000" w:themeColor="text1"/>
        </w:rPr>
        <w:t>, 1996</w:t>
      </w:r>
      <w:r w:rsidR="006F4D1F">
        <w:rPr>
          <w:bCs/>
          <w:iCs/>
          <w:color w:val="000000" w:themeColor="text1"/>
        </w:rPr>
        <w:t>;</w:t>
      </w:r>
      <w:r w:rsidR="006F4D1F" w:rsidRPr="00BF4BB6">
        <w:rPr>
          <w:bCs/>
          <w:iCs/>
          <w:color w:val="000000" w:themeColor="text1"/>
        </w:rPr>
        <w:t xml:space="preserve"> </w:t>
      </w:r>
      <w:proofErr w:type="spellStart"/>
      <w:r w:rsidR="006F4D1F">
        <w:rPr>
          <w:bCs/>
          <w:iCs/>
          <w:color w:val="000000" w:themeColor="text1"/>
        </w:rPr>
        <w:t>Trigeorgis</w:t>
      </w:r>
      <w:proofErr w:type="spellEnd"/>
      <w:r w:rsidR="006F4D1F">
        <w:rPr>
          <w:bCs/>
          <w:iCs/>
          <w:color w:val="000000" w:themeColor="text1"/>
        </w:rPr>
        <w:t xml:space="preserve"> and </w:t>
      </w:r>
      <w:proofErr w:type="spellStart"/>
      <w:r w:rsidR="006F4D1F">
        <w:rPr>
          <w:bCs/>
          <w:iCs/>
          <w:color w:val="000000" w:themeColor="text1"/>
        </w:rPr>
        <w:t>Reuer</w:t>
      </w:r>
      <w:proofErr w:type="spellEnd"/>
      <w:r w:rsidR="006F4D1F">
        <w:rPr>
          <w:bCs/>
          <w:iCs/>
          <w:color w:val="000000" w:themeColor="text1"/>
        </w:rPr>
        <w:t>, 2017).</w:t>
      </w:r>
    </w:p>
    <w:p w14:paraId="3B55EA8C" w14:textId="3F3B8884" w:rsidR="0028183C" w:rsidRDefault="00C70E9D" w:rsidP="00D44EBD">
      <w:pPr>
        <w:spacing w:after="120" w:line="480" w:lineRule="auto"/>
        <w:ind w:firstLine="284"/>
        <w:jc w:val="both"/>
        <w:rPr>
          <w:bCs/>
          <w:iCs/>
          <w:color w:val="000000" w:themeColor="text1"/>
        </w:rPr>
      </w:pPr>
      <w:r>
        <w:rPr>
          <w:color w:val="000000" w:themeColor="text1"/>
        </w:rPr>
        <w:t>The structural content of the paper shows</w:t>
      </w:r>
      <w:r w:rsidR="00B04FF9">
        <w:rPr>
          <w:color w:val="000000" w:themeColor="text1"/>
        </w:rPr>
        <w:t xml:space="preserve"> that</w:t>
      </w:r>
      <w:r>
        <w:rPr>
          <w:color w:val="000000" w:themeColor="text1"/>
        </w:rPr>
        <w:t>, f</w:t>
      </w:r>
      <w:r w:rsidR="00015AF6">
        <w:rPr>
          <w:color w:val="000000" w:themeColor="text1"/>
        </w:rPr>
        <w:t xml:space="preserve">irst, </w:t>
      </w:r>
      <w:r w:rsidR="004005F4">
        <w:rPr>
          <w:color w:val="000000" w:themeColor="text1"/>
        </w:rPr>
        <w:t xml:space="preserve">we </w:t>
      </w:r>
      <w:r w:rsidR="00015AF6">
        <w:t>d</w:t>
      </w:r>
      <w:r w:rsidR="00E345D2">
        <w:t xml:space="preserve">raw on available </w:t>
      </w:r>
      <w:r w:rsidR="00E345D2">
        <w:rPr>
          <w:bCs/>
        </w:rPr>
        <w:t>databases and current debates</w:t>
      </w:r>
      <w:r w:rsidR="000D2DE2">
        <w:rPr>
          <w:color w:val="000000" w:themeColor="text1"/>
        </w:rPr>
        <w:t>.</w:t>
      </w:r>
      <w:r w:rsidR="00A377FD">
        <w:rPr>
          <w:color w:val="000000" w:themeColor="text1"/>
        </w:rPr>
        <w:t xml:space="preserve"> </w:t>
      </w:r>
      <w:r w:rsidR="00A00B5A">
        <w:rPr>
          <w:color w:val="000000" w:themeColor="text1"/>
        </w:rPr>
        <w:t xml:space="preserve">It is widely known the </w:t>
      </w:r>
      <w:r w:rsidR="005209A6">
        <w:rPr>
          <w:bCs/>
        </w:rPr>
        <w:t xml:space="preserve">Pandemic </w:t>
      </w:r>
      <w:r w:rsidR="00A00B5A">
        <w:rPr>
          <w:bCs/>
        </w:rPr>
        <w:t>has had a considerable impact on wider reaches of societies</w:t>
      </w:r>
      <w:r w:rsidR="00B04FF9">
        <w:rPr>
          <w:bCs/>
        </w:rPr>
        <w:t>, and</w:t>
      </w:r>
      <w:r w:rsidR="00A00B5A">
        <w:rPr>
          <w:bCs/>
        </w:rPr>
        <w:t xml:space="preserve"> </w:t>
      </w:r>
      <w:r w:rsidR="00B04FF9">
        <w:rPr>
          <w:bCs/>
        </w:rPr>
        <w:t>the impact</w:t>
      </w:r>
      <w:r w:rsidR="00A00B5A">
        <w:rPr>
          <w:bCs/>
        </w:rPr>
        <w:t xml:space="preserve"> ha</w:t>
      </w:r>
      <w:r w:rsidR="00B04FF9">
        <w:rPr>
          <w:bCs/>
        </w:rPr>
        <w:t>s</w:t>
      </w:r>
      <w:r w:rsidR="00A00B5A">
        <w:rPr>
          <w:bCs/>
        </w:rPr>
        <w:t xml:space="preserve"> become </w:t>
      </w:r>
      <w:r w:rsidR="007F20BF">
        <w:rPr>
          <w:bCs/>
        </w:rPr>
        <w:t>endemic</w:t>
      </w:r>
      <w:r w:rsidR="00A00B5A">
        <w:rPr>
          <w:bCs/>
        </w:rPr>
        <w:t xml:space="preserve"> in a post-pandemic environment. Governments continue to respond using a range of measures that include full lockdowns, c</w:t>
      </w:r>
      <w:r w:rsidR="004A1628" w:rsidRPr="006E7C67">
        <w:rPr>
          <w:bCs/>
        </w:rPr>
        <w:t xml:space="preserve">ircuit </w:t>
      </w:r>
      <w:r w:rsidR="004A1628">
        <w:rPr>
          <w:bCs/>
        </w:rPr>
        <w:t>b</w:t>
      </w:r>
      <w:r w:rsidR="004A1628" w:rsidRPr="006E7C67">
        <w:rPr>
          <w:bCs/>
        </w:rPr>
        <w:t>reakers</w:t>
      </w:r>
      <w:r w:rsidR="00A00B5A">
        <w:rPr>
          <w:bCs/>
        </w:rPr>
        <w:t xml:space="preserve"> (</w:t>
      </w:r>
      <w:r w:rsidR="008D589C">
        <w:rPr>
          <w:bCs/>
        </w:rPr>
        <w:t>mini lockdowns</w:t>
      </w:r>
      <w:r w:rsidR="00A00B5A">
        <w:rPr>
          <w:bCs/>
        </w:rPr>
        <w:t xml:space="preserve"> of a specified time</w:t>
      </w:r>
      <w:r w:rsidR="00C375DB">
        <w:rPr>
          <w:bCs/>
        </w:rPr>
        <w:t>-</w:t>
      </w:r>
      <w:r w:rsidR="00A00B5A">
        <w:rPr>
          <w:bCs/>
        </w:rPr>
        <w:t>period</w:t>
      </w:r>
      <w:r w:rsidR="008D589C">
        <w:rPr>
          <w:bCs/>
        </w:rPr>
        <w:t xml:space="preserve">) </w:t>
      </w:r>
      <w:r w:rsidR="00A00B5A">
        <w:rPr>
          <w:bCs/>
        </w:rPr>
        <w:t>to stem the reproduction rate of the virus</w:t>
      </w:r>
      <w:r w:rsidR="008D589C">
        <w:rPr>
          <w:bCs/>
        </w:rPr>
        <w:t xml:space="preserve">, which have also </w:t>
      </w:r>
      <w:r w:rsidR="00A00B5A">
        <w:rPr>
          <w:bCs/>
        </w:rPr>
        <w:t>create</w:t>
      </w:r>
      <w:r w:rsidR="008D589C">
        <w:rPr>
          <w:bCs/>
        </w:rPr>
        <w:t>d</w:t>
      </w:r>
      <w:r w:rsidR="00A00B5A">
        <w:rPr>
          <w:bCs/>
        </w:rPr>
        <w:t xml:space="preserve"> a </w:t>
      </w:r>
      <w:r w:rsidR="004A1628">
        <w:rPr>
          <w:bCs/>
        </w:rPr>
        <w:t>‘distorted gravity’</w:t>
      </w:r>
      <w:r w:rsidR="00A377FD">
        <w:rPr>
          <w:bCs/>
        </w:rPr>
        <w:t xml:space="preserve"> </w:t>
      </w:r>
      <w:r w:rsidR="00A00B5A">
        <w:rPr>
          <w:bCs/>
        </w:rPr>
        <w:t xml:space="preserve">effect for </w:t>
      </w:r>
      <w:r w:rsidR="00A377FD">
        <w:rPr>
          <w:bCs/>
        </w:rPr>
        <w:t xml:space="preserve">global </w:t>
      </w:r>
      <w:r w:rsidR="00E57B4B">
        <w:rPr>
          <w:bCs/>
        </w:rPr>
        <w:t>business</w:t>
      </w:r>
      <w:r w:rsidR="00F979ED">
        <w:rPr>
          <w:bCs/>
        </w:rPr>
        <w:t>es</w:t>
      </w:r>
      <w:r w:rsidR="00AE7EED">
        <w:rPr>
          <w:bCs/>
        </w:rPr>
        <w:t>.</w:t>
      </w:r>
      <w:r w:rsidR="00A377FD">
        <w:rPr>
          <w:bCs/>
        </w:rPr>
        <w:t xml:space="preserve"> </w:t>
      </w:r>
      <w:r w:rsidR="00815C4B">
        <w:rPr>
          <w:bCs/>
        </w:rPr>
        <w:t>Secondly,</w:t>
      </w:r>
      <w:r w:rsidR="002538AC">
        <w:rPr>
          <w:bCs/>
        </w:rPr>
        <w:t xml:space="preserve"> i</w:t>
      </w:r>
      <w:r w:rsidR="00197AA8">
        <w:rPr>
          <w:color w:val="000000" w:themeColor="text1"/>
        </w:rPr>
        <w:t>n response to the challenges,</w:t>
      </w:r>
      <w:r w:rsidR="004A1628">
        <w:rPr>
          <w:color w:val="000000" w:themeColor="text1"/>
        </w:rPr>
        <w:t xml:space="preserve"> we</w:t>
      </w:r>
      <w:r w:rsidR="00571700">
        <w:rPr>
          <w:color w:val="000000" w:themeColor="text1"/>
        </w:rPr>
        <w:t xml:space="preserve"> </w:t>
      </w:r>
      <w:r w:rsidR="004A1628">
        <w:rPr>
          <w:color w:val="000000" w:themeColor="text1"/>
        </w:rPr>
        <w:t>use ROA to explore how organi</w:t>
      </w:r>
      <w:r w:rsidR="006F1E41">
        <w:rPr>
          <w:color w:val="000000" w:themeColor="text1"/>
        </w:rPr>
        <w:t>s</w:t>
      </w:r>
      <w:r w:rsidR="004A1628">
        <w:rPr>
          <w:color w:val="000000" w:themeColor="text1"/>
        </w:rPr>
        <w:t>ations sense the environments w</w:t>
      </w:r>
      <w:r w:rsidR="00571700">
        <w:rPr>
          <w:color w:val="000000" w:themeColor="text1"/>
        </w:rPr>
        <w:t>h</w:t>
      </w:r>
      <w:r w:rsidR="00E707C9">
        <w:rPr>
          <w:color w:val="000000" w:themeColor="text1"/>
        </w:rPr>
        <w:t>en</w:t>
      </w:r>
      <w:r w:rsidR="004A1628">
        <w:rPr>
          <w:color w:val="000000" w:themeColor="text1"/>
        </w:rPr>
        <w:t xml:space="preserve"> the solution set is uncountable</w:t>
      </w:r>
      <w:r w:rsidR="00E707C9">
        <w:rPr>
          <w:color w:val="000000" w:themeColor="text1"/>
        </w:rPr>
        <w:t>,</w:t>
      </w:r>
      <w:r w:rsidR="004A1628">
        <w:rPr>
          <w:color w:val="000000" w:themeColor="text1"/>
        </w:rPr>
        <w:t xml:space="preserve"> </w:t>
      </w:r>
      <w:r w:rsidR="00E707C9">
        <w:rPr>
          <w:color w:val="000000" w:themeColor="text1"/>
        </w:rPr>
        <w:t xml:space="preserve">yet </w:t>
      </w:r>
      <w:r w:rsidR="004A1628">
        <w:rPr>
          <w:color w:val="000000" w:themeColor="text1"/>
        </w:rPr>
        <w:t xml:space="preserve">sense can be made by </w:t>
      </w:r>
      <w:r w:rsidR="004A1628" w:rsidRPr="00D51AA7">
        <w:rPr>
          <w:color w:val="000000" w:themeColor="text1"/>
        </w:rPr>
        <w:t>link</w:t>
      </w:r>
      <w:r w:rsidR="004A1628">
        <w:rPr>
          <w:color w:val="000000" w:themeColor="text1"/>
        </w:rPr>
        <w:t xml:space="preserve">ing ROA to the </w:t>
      </w:r>
      <w:r w:rsidR="006C5382">
        <w:rPr>
          <w:color w:val="000000" w:themeColor="text1"/>
        </w:rPr>
        <w:t>DP</w:t>
      </w:r>
      <w:r w:rsidR="00DF4516">
        <w:rPr>
          <w:color w:val="000000" w:themeColor="text1"/>
        </w:rPr>
        <w:t xml:space="preserve">. </w:t>
      </w:r>
      <w:r w:rsidR="004A1628">
        <w:rPr>
          <w:bCs/>
        </w:rPr>
        <w:t>We</w:t>
      </w:r>
      <w:r w:rsidR="000D2DE2">
        <w:rPr>
          <w:bCs/>
        </w:rPr>
        <w:t xml:space="preserve"> </w:t>
      </w:r>
      <w:r w:rsidR="004A1628">
        <w:rPr>
          <w:bCs/>
        </w:rPr>
        <w:t>draw ou</w:t>
      </w:r>
      <w:r w:rsidR="00E707C9">
        <w:rPr>
          <w:bCs/>
        </w:rPr>
        <w:t>t</w:t>
      </w:r>
      <w:r w:rsidR="006C5382">
        <w:rPr>
          <w:bCs/>
        </w:rPr>
        <w:t xml:space="preserve"> </w:t>
      </w:r>
      <w:r w:rsidR="00C445CB">
        <w:rPr>
          <w:bCs/>
        </w:rPr>
        <w:t xml:space="preserve">the </w:t>
      </w:r>
      <w:r w:rsidR="00571700">
        <w:rPr>
          <w:bCs/>
        </w:rPr>
        <w:t>‘</w:t>
      </w:r>
      <w:r w:rsidR="00D716D2">
        <w:rPr>
          <w:bCs/>
        </w:rPr>
        <w:t>t</w:t>
      </w:r>
      <w:r w:rsidR="00571700">
        <w:rPr>
          <w:bCs/>
        </w:rPr>
        <w:t>ime-to-</w:t>
      </w:r>
      <w:r w:rsidR="00D716D2">
        <w:rPr>
          <w:bCs/>
        </w:rPr>
        <w:t>b</w:t>
      </w:r>
      <w:r w:rsidR="00571700">
        <w:rPr>
          <w:bCs/>
        </w:rPr>
        <w:t>uil</w:t>
      </w:r>
      <w:r w:rsidR="00A00B5A">
        <w:rPr>
          <w:bCs/>
        </w:rPr>
        <w:t>d</w:t>
      </w:r>
      <w:r w:rsidR="00571700">
        <w:rPr>
          <w:bCs/>
        </w:rPr>
        <w:t>’</w:t>
      </w:r>
      <w:r w:rsidR="00815C4B">
        <w:rPr>
          <w:bCs/>
        </w:rPr>
        <w:t xml:space="preserve"> </w:t>
      </w:r>
      <w:r w:rsidR="00D716D2">
        <w:rPr>
          <w:bCs/>
        </w:rPr>
        <w:t>real options</w:t>
      </w:r>
      <w:r w:rsidR="00A00B5A">
        <w:rPr>
          <w:bCs/>
        </w:rPr>
        <w:t xml:space="preserve"> </w:t>
      </w:r>
      <w:r w:rsidR="00815C4B">
        <w:rPr>
          <w:bCs/>
        </w:rPr>
        <w:t>in a sequential framework to</w:t>
      </w:r>
      <w:r w:rsidR="004A02FC">
        <w:rPr>
          <w:bCs/>
        </w:rPr>
        <w:t xml:space="preserve"> provide a set of scenarios</w:t>
      </w:r>
      <w:r w:rsidR="004A02FC">
        <w:t xml:space="preserve"> as </w:t>
      </w:r>
      <w:r w:rsidR="004A02FC" w:rsidRPr="0048389A">
        <w:rPr>
          <w:bCs/>
        </w:rPr>
        <w:t>emerg</w:t>
      </w:r>
      <w:r w:rsidR="004A02FC">
        <w:rPr>
          <w:bCs/>
        </w:rPr>
        <w:t xml:space="preserve">ing </w:t>
      </w:r>
      <w:r w:rsidR="004A02FC" w:rsidRPr="0048389A">
        <w:rPr>
          <w:bCs/>
        </w:rPr>
        <w:t>response</w:t>
      </w:r>
      <w:r w:rsidR="004A02FC">
        <w:rPr>
          <w:bCs/>
        </w:rPr>
        <w:t>s</w:t>
      </w:r>
      <w:r w:rsidR="004A02FC" w:rsidRPr="0048389A">
        <w:rPr>
          <w:bCs/>
        </w:rPr>
        <w:t xml:space="preserve"> </w:t>
      </w:r>
      <w:r w:rsidR="004A02FC">
        <w:rPr>
          <w:bCs/>
        </w:rPr>
        <w:t xml:space="preserve">to </w:t>
      </w:r>
      <w:r w:rsidR="004A02FC" w:rsidRPr="0048389A">
        <w:rPr>
          <w:bCs/>
        </w:rPr>
        <w:t>economic and business challenges</w:t>
      </w:r>
      <w:r w:rsidR="004A02FC">
        <w:rPr>
          <w:bCs/>
        </w:rPr>
        <w:t xml:space="preserve">. </w:t>
      </w:r>
      <w:r w:rsidR="006A4167">
        <w:rPr>
          <w:bCs/>
        </w:rPr>
        <w:t xml:space="preserve">For example, the UK Government Plan A and Plan B results </w:t>
      </w:r>
      <w:r w:rsidR="00E93008">
        <w:rPr>
          <w:bCs/>
        </w:rPr>
        <w:t xml:space="preserve">have been desirable </w:t>
      </w:r>
      <w:r w:rsidR="006A4167">
        <w:rPr>
          <w:bCs/>
        </w:rPr>
        <w:t>while vaccine programs (</w:t>
      </w:r>
      <w:proofErr w:type="spellStart"/>
      <w:r w:rsidR="006A4167">
        <w:rPr>
          <w:bCs/>
        </w:rPr>
        <w:t>Biontech</w:t>
      </w:r>
      <w:proofErr w:type="spellEnd"/>
      <w:r w:rsidR="006A4167">
        <w:rPr>
          <w:bCs/>
        </w:rPr>
        <w:t>-Pfizer and Oxford-AstraZeneca) gradually strengthen the first</w:t>
      </w:r>
      <w:r w:rsidR="00E93008">
        <w:rPr>
          <w:bCs/>
        </w:rPr>
        <w:t xml:space="preserve"> (</w:t>
      </w:r>
      <w:r w:rsidR="00BD1D47">
        <w:rPr>
          <w:bCs/>
        </w:rPr>
        <w:t xml:space="preserve">Plan A, </w:t>
      </w:r>
      <w:r w:rsidR="00E93008">
        <w:rPr>
          <w:bCs/>
        </w:rPr>
        <w:t>lockdown)</w:t>
      </w:r>
      <w:r w:rsidR="006A4167">
        <w:rPr>
          <w:bCs/>
        </w:rPr>
        <w:t xml:space="preserve">. </w:t>
      </w:r>
      <w:r w:rsidR="00297A4C">
        <w:rPr>
          <w:color w:val="000000" w:themeColor="text1"/>
        </w:rPr>
        <w:t>T</w:t>
      </w:r>
      <w:r w:rsidR="00D1509B">
        <w:rPr>
          <w:color w:val="000000" w:themeColor="text1"/>
        </w:rPr>
        <w:t>h</w:t>
      </w:r>
      <w:r w:rsidR="000D2DE2">
        <w:rPr>
          <w:color w:val="000000" w:themeColor="text1"/>
        </w:rPr>
        <w:t xml:space="preserve">irdly, </w:t>
      </w:r>
      <w:r w:rsidR="00B345E3">
        <w:rPr>
          <w:color w:val="000000" w:themeColor="text1"/>
        </w:rPr>
        <w:t xml:space="preserve">we continue to develop research methods by which </w:t>
      </w:r>
      <w:r w:rsidR="002538AC">
        <w:rPr>
          <w:bCs/>
          <w:iCs/>
          <w:color w:val="000000" w:themeColor="text1"/>
        </w:rPr>
        <w:t>w</w:t>
      </w:r>
      <w:r w:rsidR="00D276DF">
        <w:t xml:space="preserve">e </w:t>
      </w:r>
      <w:r w:rsidR="00B345E3">
        <w:t xml:space="preserve">demonstrate how we </w:t>
      </w:r>
      <w:r w:rsidR="00D276DF">
        <w:t xml:space="preserve">address </w:t>
      </w:r>
      <w:r w:rsidR="00B703B3">
        <w:t>a</w:t>
      </w:r>
      <w:r w:rsidR="00E72638">
        <w:rPr>
          <w:bCs/>
          <w:iCs/>
          <w:color w:val="000000" w:themeColor="text1"/>
        </w:rPr>
        <w:t xml:space="preserve"> gap </w:t>
      </w:r>
      <w:r w:rsidR="00E93008">
        <w:rPr>
          <w:bCs/>
          <w:iCs/>
          <w:color w:val="000000" w:themeColor="text1"/>
        </w:rPr>
        <w:t>in</w:t>
      </w:r>
      <w:r w:rsidR="00B703B3">
        <w:rPr>
          <w:bCs/>
          <w:iCs/>
          <w:color w:val="000000" w:themeColor="text1"/>
        </w:rPr>
        <w:t xml:space="preserve"> </w:t>
      </w:r>
      <w:r w:rsidR="00D276DF">
        <w:rPr>
          <w:bCs/>
          <w:iCs/>
          <w:color w:val="000000" w:themeColor="text1"/>
        </w:rPr>
        <w:t xml:space="preserve">prior literature </w:t>
      </w:r>
      <w:r w:rsidR="00E93008">
        <w:rPr>
          <w:bCs/>
          <w:iCs/>
          <w:color w:val="000000" w:themeColor="text1"/>
        </w:rPr>
        <w:t xml:space="preserve">that </w:t>
      </w:r>
      <w:r w:rsidR="00D276DF">
        <w:rPr>
          <w:bCs/>
          <w:iCs/>
          <w:color w:val="000000" w:themeColor="text1"/>
        </w:rPr>
        <w:t>has barely begun to address</w:t>
      </w:r>
      <w:r w:rsidR="00B345E3">
        <w:rPr>
          <w:bCs/>
          <w:iCs/>
          <w:color w:val="000000" w:themeColor="text1"/>
        </w:rPr>
        <w:t>.</w:t>
      </w:r>
      <w:r w:rsidR="00E93008">
        <w:rPr>
          <w:bCs/>
          <w:iCs/>
          <w:color w:val="000000" w:themeColor="text1"/>
        </w:rPr>
        <w:t xml:space="preserve"> </w:t>
      </w:r>
      <w:r w:rsidR="00B345E3">
        <w:rPr>
          <w:bCs/>
          <w:iCs/>
          <w:color w:val="000000" w:themeColor="text1"/>
        </w:rPr>
        <w:t xml:space="preserve">Importantly, </w:t>
      </w:r>
      <w:r w:rsidR="00A804A0">
        <w:rPr>
          <w:bCs/>
          <w:iCs/>
          <w:color w:val="000000" w:themeColor="text1"/>
        </w:rPr>
        <w:t>we</w:t>
      </w:r>
      <w:r w:rsidR="00D276DF">
        <w:rPr>
          <w:bCs/>
          <w:iCs/>
          <w:color w:val="000000" w:themeColor="text1"/>
        </w:rPr>
        <w:t xml:space="preserve"> integrate real options valuation methods with </w:t>
      </w:r>
      <w:r w:rsidR="00B703B3">
        <w:rPr>
          <w:bCs/>
          <w:iCs/>
          <w:color w:val="000000" w:themeColor="text1"/>
        </w:rPr>
        <w:t>d</w:t>
      </w:r>
      <w:r w:rsidR="00D276DF">
        <w:rPr>
          <w:bCs/>
          <w:iCs/>
          <w:color w:val="000000" w:themeColor="text1"/>
        </w:rPr>
        <w:t>ynamic capabilities</w:t>
      </w:r>
      <w:r w:rsidR="00B703B3">
        <w:rPr>
          <w:bCs/>
          <w:iCs/>
          <w:color w:val="000000" w:themeColor="text1"/>
        </w:rPr>
        <w:t>’ thinking</w:t>
      </w:r>
      <w:r w:rsidR="00E93008" w:rsidRPr="00E93008">
        <w:rPr>
          <w:color w:val="000000" w:themeColor="text1"/>
        </w:rPr>
        <w:t xml:space="preserve"> </w:t>
      </w:r>
      <w:r w:rsidR="00E93008">
        <w:rPr>
          <w:color w:val="000000" w:themeColor="text1"/>
        </w:rPr>
        <w:t>to explain resilience</w:t>
      </w:r>
      <w:r w:rsidR="00D276DF">
        <w:rPr>
          <w:bCs/>
          <w:iCs/>
          <w:color w:val="000000" w:themeColor="text1"/>
        </w:rPr>
        <w:t xml:space="preserve">. </w:t>
      </w:r>
    </w:p>
    <w:p w14:paraId="0F04A891" w14:textId="77777777" w:rsidR="001B20BF" w:rsidRDefault="001B20BF" w:rsidP="00D44EBD">
      <w:pPr>
        <w:spacing w:after="120" w:line="480" w:lineRule="auto"/>
        <w:ind w:firstLine="284"/>
        <w:jc w:val="both"/>
        <w:rPr>
          <w:bCs/>
          <w:iCs/>
          <w:color w:val="000000" w:themeColor="text1"/>
        </w:rPr>
      </w:pPr>
    </w:p>
    <w:p w14:paraId="624BC08C" w14:textId="062E286D" w:rsidR="00085B7D" w:rsidRPr="00D44EBD" w:rsidRDefault="007D3480" w:rsidP="00D44EBD">
      <w:pPr>
        <w:spacing w:before="120" w:after="120" w:line="480" w:lineRule="auto"/>
        <w:jc w:val="both"/>
        <w:rPr>
          <w:b/>
        </w:rPr>
      </w:pPr>
      <w:r w:rsidRPr="00D44EBD">
        <w:rPr>
          <w:b/>
        </w:rPr>
        <w:t>Literature review and critical issues</w:t>
      </w:r>
    </w:p>
    <w:p w14:paraId="0F26A99B" w14:textId="0C803780" w:rsidR="00C2703C" w:rsidRPr="009F0613" w:rsidRDefault="009F0613" w:rsidP="00D44EBD">
      <w:pPr>
        <w:spacing w:after="120" w:line="480" w:lineRule="auto"/>
        <w:jc w:val="both"/>
        <w:rPr>
          <w:bCs/>
          <w:i/>
          <w:iCs/>
        </w:rPr>
      </w:pPr>
      <w:r>
        <w:rPr>
          <w:bCs/>
          <w:i/>
          <w:iCs/>
        </w:rPr>
        <w:t xml:space="preserve"> </w:t>
      </w:r>
      <w:r w:rsidR="00390FB3" w:rsidRPr="009F0613">
        <w:rPr>
          <w:bCs/>
          <w:i/>
          <w:iCs/>
        </w:rPr>
        <w:t>Lockdown and</w:t>
      </w:r>
      <w:r w:rsidR="005B7526" w:rsidRPr="009F0613">
        <w:rPr>
          <w:bCs/>
          <w:i/>
          <w:iCs/>
        </w:rPr>
        <w:t xml:space="preserve"> </w:t>
      </w:r>
      <w:r w:rsidR="00EB2B86" w:rsidRPr="009F0613">
        <w:rPr>
          <w:bCs/>
          <w:i/>
          <w:iCs/>
        </w:rPr>
        <w:t>“</w:t>
      </w:r>
      <w:r w:rsidR="007D3480" w:rsidRPr="009F0613">
        <w:rPr>
          <w:bCs/>
          <w:i/>
          <w:iCs/>
        </w:rPr>
        <w:t xml:space="preserve">distorted </w:t>
      </w:r>
      <w:r w:rsidR="00390FB3" w:rsidRPr="009F0613">
        <w:rPr>
          <w:bCs/>
          <w:i/>
          <w:iCs/>
        </w:rPr>
        <w:t>gravity</w:t>
      </w:r>
      <w:r w:rsidR="00EB2B86" w:rsidRPr="009F0613">
        <w:rPr>
          <w:bCs/>
          <w:i/>
          <w:iCs/>
        </w:rPr>
        <w:t>”</w:t>
      </w:r>
    </w:p>
    <w:p w14:paraId="5631DBE9" w14:textId="78D012BB" w:rsidR="00C21ED5" w:rsidRDefault="00F82072" w:rsidP="008D5236">
      <w:pPr>
        <w:spacing w:after="120" w:line="480" w:lineRule="auto"/>
        <w:jc w:val="both"/>
        <w:rPr>
          <w:color w:val="000000"/>
        </w:rPr>
      </w:pPr>
      <w:r w:rsidRPr="00FD2CA7">
        <w:t xml:space="preserve">The </w:t>
      </w:r>
      <w:r w:rsidR="0066106F">
        <w:t>COVID</w:t>
      </w:r>
      <w:r w:rsidRPr="00FD2CA7">
        <w:t xml:space="preserve">-19 </w:t>
      </w:r>
      <w:r w:rsidR="00B703B3">
        <w:t>e</w:t>
      </w:r>
      <w:r w:rsidRPr="00FD2CA7">
        <w:t>pidemiology describe</w:t>
      </w:r>
      <w:r>
        <w:t>s</w:t>
      </w:r>
      <w:r w:rsidRPr="00FD2CA7">
        <w:t xml:space="preserve"> how rapid</w:t>
      </w:r>
      <w:r w:rsidR="00A14F44">
        <w:t xml:space="preserve"> </w:t>
      </w:r>
      <w:r w:rsidRPr="00FD2CA7">
        <w:t xml:space="preserve">the virus percolates </w:t>
      </w:r>
      <w:r w:rsidR="00B703B3">
        <w:t>within and</w:t>
      </w:r>
      <w:r w:rsidRPr="00FD2CA7">
        <w:t xml:space="preserve"> across societies</w:t>
      </w:r>
      <w:r w:rsidR="006C5C59">
        <w:t>.</w:t>
      </w:r>
      <w:r w:rsidR="00390FB3">
        <w:rPr>
          <w:color w:val="000000" w:themeColor="text1"/>
        </w:rPr>
        <w:t xml:space="preserve"> </w:t>
      </w:r>
      <w:r w:rsidR="00390FB3">
        <w:t>G</w:t>
      </w:r>
      <w:r w:rsidR="00536794">
        <w:t xml:space="preserve">iven </w:t>
      </w:r>
      <w:r w:rsidR="00B9076E">
        <w:t xml:space="preserve">the evolving and transformed </w:t>
      </w:r>
      <w:r w:rsidR="00536794">
        <w:t>Alpha virus, Delta virus, and current Omicron</w:t>
      </w:r>
      <w:r w:rsidR="00C0779A">
        <w:t xml:space="preserve">, </w:t>
      </w:r>
      <w:r w:rsidR="00A30B94">
        <w:t>t</w:t>
      </w:r>
      <w:r w:rsidR="00A30B94" w:rsidRPr="00FD2CA7">
        <w:t>he contagion effect is the virus can be cont</w:t>
      </w:r>
      <w:r w:rsidR="00680AE8">
        <w:t>r</w:t>
      </w:r>
      <w:r w:rsidR="00A30B94" w:rsidRPr="00FD2CA7">
        <w:t xml:space="preserve">acted through </w:t>
      </w:r>
      <w:r w:rsidR="00E808CD">
        <w:t xml:space="preserve">both </w:t>
      </w:r>
      <w:r w:rsidR="00E808CD" w:rsidRPr="00FD2CA7">
        <w:t>direct</w:t>
      </w:r>
      <w:r w:rsidR="00E808CD">
        <w:t xml:space="preserve"> and indirect effects such </w:t>
      </w:r>
      <w:r w:rsidR="00E808CD">
        <w:lastRenderedPageBreak/>
        <w:t>as with</w:t>
      </w:r>
      <w:r w:rsidR="00E808CD" w:rsidRPr="00FD2CA7">
        <w:t xml:space="preserve"> </w:t>
      </w:r>
      <w:r w:rsidR="00A30B94" w:rsidRPr="00FD2CA7">
        <w:t xml:space="preserve">infected people </w:t>
      </w:r>
      <w:r w:rsidR="00680AE8">
        <w:t>(direct)</w:t>
      </w:r>
      <w:r w:rsidR="00680AE8" w:rsidRPr="00FD2CA7">
        <w:t xml:space="preserve"> </w:t>
      </w:r>
      <w:r w:rsidR="00A30B94" w:rsidRPr="00FD2CA7">
        <w:t>and through surfaces in the immediate environment</w:t>
      </w:r>
      <w:r w:rsidR="00E808CD">
        <w:t xml:space="preserve"> </w:t>
      </w:r>
      <w:r w:rsidR="00680AE8">
        <w:t>(</w:t>
      </w:r>
      <w:r w:rsidR="00680AE8" w:rsidRPr="00FD2CA7">
        <w:t>indirect</w:t>
      </w:r>
      <w:r w:rsidR="00680AE8">
        <w:t>)</w:t>
      </w:r>
      <w:r w:rsidR="00680AE8" w:rsidRPr="00FD2CA7">
        <w:t xml:space="preserve"> </w:t>
      </w:r>
      <w:r w:rsidR="00A30B94" w:rsidRPr="00FD2CA7">
        <w:t xml:space="preserve">from objects used on the infected person </w:t>
      </w:r>
      <w:r w:rsidR="005C2A73">
        <w:t>and</w:t>
      </w:r>
      <w:r w:rsidR="00A30B94" w:rsidRPr="00FD2CA7">
        <w:t xml:space="preserve"> medical equipment (Gov. UK, 2020; WHO, 2020)</w:t>
      </w:r>
      <w:r w:rsidR="00536794">
        <w:t xml:space="preserve">. </w:t>
      </w:r>
      <w:r w:rsidR="00594A77">
        <w:t>V</w:t>
      </w:r>
      <w:r w:rsidR="00F01577" w:rsidRPr="00FD2CA7">
        <w:t xml:space="preserve">irus cases and fatalities continue to rise across countries, regions, and continents, including countries </w:t>
      </w:r>
      <w:r w:rsidR="00923B7B">
        <w:t>with</w:t>
      </w:r>
      <w:r w:rsidR="00F01577" w:rsidRPr="00FD2CA7">
        <w:t xml:space="preserve"> less international travel and global business activity</w:t>
      </w:r>
      <w:r w:rsidR="00F01577">
        <w:t xml:space="preserve"> </w:t>
      </w:r>
      <w:r w:rsidR="00F01577" w:rsidRPr="00FD2CA7">
        <w:t>(WHO, 2021</w:t>
      </w:r>
      <w:r w:rsidR="00F01577" w:rsidRPr="00B9217D">
        <w:t xml:space="preserve">). </w:t>
      </w:r>
      <w:r w:rsidR="00C0779A">
        <w:t xml:space="preserve">Consequently, </w:t>
      </w:r>
      <w:r w:rsidR="0066106F">
        <w:t>COVID</w:t>
      </w:r>
      <w:r w:rsidR="00D5258E">
        <w:t xml:space="preserve">-19 </w:t>
      </w:r>
      <w:r w:rsidR="006752DD">
        <w:t>i</w:t>
      </w:r>
      <w:r w:rsidR="00D5258E">
        <w:t xml:space="preserve">s more than </w:t>
      </w:r>
      <w:r>
        <w:t>a p</w:t>
      </w:r>
      <w:r w:rsidRPr="00FD2CA7">
        <w:t>andemic</w:t>
      </w:r>
      <w:r w:rsidR="00923B7B">
        <w:t xml:space="preserve">; </w:t>
      </w:r>
      <w:r w:rsidR="00514441">
        <w:t xml:space="preserve">it is </w:t>
      </w:r>
      <w:proofErr w:type="spellStart"/>
      <w:r w:rsidR="00514441">
        <w:t>syndemic</w:t>
      </w:r>
      <w:proofErr w:type="spellEnd"/>
      <w:r w:rsidR="008D2E2F">
        <w:t>-</w:t>
      </w:r>
      <w:r w:rsidR="00D5258E">
        <w:t xml:space="preserve"> </w:t>
      </w:r>
      <w:r w:rsidR="00F4666D">
        <w:t>the term coi</w:t>
      </w:r>
      <w:r w:rsidR="008D2E2F">
        <w:t>n</w:t>
      </w:r>
      <w:r w:rsidR="00F4666D">
        <w:t>ed by</w:t>
      </w:r>
      <w:r w:rsidR="00F4666D" w:rsidRPr="00F4666D">
        <w:t xml:space="preserve"> </w:t>
      </w:r>
      <w:r w:rsidR="00F4666D" w:rsidRPr="00514441">
        <w:t>Merrill</w:t>
      </w:r>
      <w:r w:rsidR="00F4666D">
        <w:t xml:space="preserve"> in </w:t>
      </w:r>
      <w:r w:rsidR="00C448FC">
        <w:t xml:space="preserve">the </w:t>
      </w:r>
      <w:r w:rsidR="00116815">
        <w:t>m</w:t>
      </w:r>
      <w:r w:rsidR="008D2E2F">
        <w:t>id</w:t>
      </w:r>
      <w:r w:rsidR="00116815">
        <w:t>-</w:t>
      </w:r>
      <w:r w:rsidR="008D2E2F">
        <w:t>1990s</w:t>
      </w:r>
      <w:r w:rsidR="00F4666D">
        <w:t xml:space="preserve"> </w:t>
      </w:r>
      <w:r w:rsidR="00514441" w:rsidRPr="00514441">
        <w:t>(see, Merrill, 2009).</w:t>
      </w:r>
      <w:r w:rsidR="004D7A67">
        <w:t xml:space="preserve"> T</w:t>
      </w:r>
      <w:r w:rsidRPr="00FD2CA7">
        <w:t xml:space="preserve">he </w:t>
      </w:r>
      <w:proofErr w:type="spellStart"/>
      <w:r w:rsidRPr="00FD2CA7">
        <w:rPr>
          <w:color w:val="000000" w:themeColor="text1"/>
          <w:shd w:val="clear" w:color="auto" w:fill="FFFFFF"/>
        </w:rPr>
        <w:t>syndemic</w:t>
      </w:r>
      <w:proofErr w:type="spellEnd"/>
      <w:r w:rsidRPr="00FD2CA7">
        <w:rPr>
          <w:color w:val="000000" w:themeColor="text1"/>
          <w:shd w:val="clear" w:color="auto" w:fill="FFFFFF"/>
        </w:rPr>
        <w:t xml:space="preserve"> defines </w:t>
      </w:r>
      <w:r w:rsidR="0066106F">
        <w:rPr>
          <w:color w:val="000000" w:themeColor="text1"/>
          <w:shd w:val="clear" w:color="auto" w:fill="FFFFFF"/>
        </w:rPr>
        <w:t>COVID</w:t>
      </w:r>
      <w:r w:rsidRPr="00FD2CA7">
        <w:rPr>
          <w:color w:val="000000" w:themeColor="text1"/>
          <w:shd w:val="clear" w:color="auto" w:fill="FFFFFF"/>
        </w:rPr>
        <w:t xml:space="preserve">-19 as a synergistic epidemic, having more than two concurrent sequential disease clusters (UK NHS 2020; WHO, 2020) based on </w:t>
      </w:r>
      <w:r w:rsidR="00C448FC">
        <w:rPr>
          <w:color w:val="000000" w:themeColor="text1"/>
          <w:shd w:val="clear" w:color="auto" w:fill="FFFFFF"/>
        </w:rPr>
        <w:t xml:space="preserve">the </w:t>
      </w:r>
      <w:r w:rsidR="00B703B3">
        <w:rPr>
          <w:color w:val="000000" w:themeColor="text1"/>
          <w:shd w:val="clear" w:color="auto" w:fill="FFFFFF"/>
        </w:rPr>
        <w:t xml:space="preserve">human </w:t>
      </w:r>
      <w:r w:rsidRPr="00FD2CA7">
        <w:rPr>
          <w:color w:val="000000" w:themeColor="text1"/>
          <w:shd w:val="clear" w:color="auto" w:fill="FFFFFF"/>
        </w:rPr>
        <w:t xml:space="preserve">population </w:t>
      </w:r>
      <w:r w:rsidR="00B703B3">
        <w:rPr>
          <w:color w:val="000000" w:themeColor="text1"/>
          <w:shd w:val="clear" w:color="auto" w:fill="FFFFFF"/>
        </w:rPr>
        <w:t xml:space="preserve">and other </w:t>
      </w:r>
      <w:r w:rsidRPr="00FD2CA7">
        <w:rPr>
          <w:color w:val="000000" w:themeColor="text1"/>
          <w:shd w:val="clear" w:color="auto" w:fill="FFFFFF"/>
        </w:rPr>
        <w:t xml:space="preserve">biological interactions. </w:t>
      </w:r>
      <w:r w:rsidR="006152CF">
        <w:t>T</w:t>
      </w:r>
      <w:r w:rsidR="00D502F1">
        <w:t>he COVID</w:t>
      </w:r>
      <w:r w:rsidR="00D502F1" w:rsidRPr="00FD2CA7">
        <w:t>-19 pandemic</w:t>
      </w:r>
      <w:r w:rsidR="00D502F1">
        <w:t xml:space="preserve"> </w:t>
      </w:r>
      <w:r w:rsidR="00B77CC6">
        <w:rPr>
          <w:lang w:val="en"/>
        </w:rPr>
        <w:t>c</w:t>
      </w:r>
      <w:r w:rsidR="00034D85" w:rsidRPr="00FD2CA7">
        <w:rPr>
          <w:lang w:val="en"/>
        </w:rPr>
        <w:t>ontain</w:t>
      </w:r>
      <w:r w:rsidR="00B703B3">
        <w:rPr>
          <w:lang w:val="en"/>
        </w:rPr>
        <w:t>ment to</w:t>
      </w:r>
      <w:r w:rsidR="00C448FC">
        <w:rPr>
          <w:lang w:val="en"/>
        </w:rPr>
        <w:t xml:space="preserve"> </w:t>
      </w:r>
      <w:r w:rsidR="00B703B3">
        <w:rPr>
          <w:lang w:val="en"/>
        </w:rPr>
        <w:t xml:space="preserve">date has relied on measures to </w:t>
      </w:r>
      <w:r w:rsidR="00034D85" w:rsidRPr="00FD2CA7">
        <w:t xml:space="preserve">reduce </w:t>
      </w:r>
      <w:r w:rsidR="00B703B3">
        <w:t xml:space="preserve">the virus transmission </w:t>
      </w:r>
      <w:r w:rsidR="00034D85" w:rsidRPr="00FD2CA7">
        <w:t>rate</w:t>
      </w:r>
      <w:r w:rsidR="00034D85">
        <w:t xml:space="preserve">. </w:t>
      </w:r>
      <w:r w:rsidR="00B703B3">
        <w:t xml:space="preserve">Full lockdowns and various </w:t>
      </w:r>
      <w:r w:rsidR="00341016" w:rsidRPr="00B703B3">
        <w:rPr>
          <w:bCs/>
        </w:rPr>
        <w:t xml:space="preserve">circuit breakers </w:t>
      </w:r>
      <w:r w:rsidR="00B703B3">
        <w:rPr>
          <w:bCs/>
        </w:rPr>
        <w:t xml:space="preserve">such as targeted local lockdowns for specific periods are frequently adopted to curb </w:t>
      </w:r>
      <w:r w:rsidR="00DC5704" w:rsidRPr="00FD2CA7">
        <w:t xml:space="preserve">the spread of the virus, especially in social settings where </w:t>
      </w:r>
      <w:r w:rsidR="00B703B3">
        <w:t xml:space="preserve">the virus </w:t>
      </w:r>
      <w:r w:rsidR="00DC5704" w:rsidRPr="00FD2CA7">
        <w:t>remains virulent (WHO, 2020; Gov.UK, 2020)</w:t>
      </w:r>
      <w:r w:rsidR="00F1245B">
        <w:t xml:space="preserve">. </w:t>
      </w:r>
      <w:r w:rsidR="00F00B2D">
        <w:t>‘Lockdowns’</w:t>
      </w:r>
      <w:r w:rsidR="002C4908">
        <w:t xml:space="preserve"> </w:t>
      </w:r>
      <w:r w:rsidR="00034D85">
        <w:t>informed</w:t>
      </w:r>
      <w:r w:rsidR="00AF60C7">
        <w:t xml:space="preserve"> the</w:t>
      </w:r>
      <w:r w:rsidR="00455A00" w:rsidRPr="00B9217D">
        <w:t xml:space="preserve"> </w:t>
      </w:r>
      <w:r w:rsidR="00F00B2D">
        <w:t xml:space="preserve">consequent </w:t>
      </w:r>
      <w:r w:rsidR="00B9217D" w:rsidRPr="00B9217D">
        <w:t xml:space="preserve">pandemic </w:t>
      </w:r>
      <w:r w:rsidR="002C4908">
        <w:t>impact</w:t>
      </w:r>
      <w:r w:rsidR="00034D85">
        <w:t xml:space="preserve"> that</w:t>
      </w:r>
      <w:r w:rsidR="008D2E2F">
        <w:t xml:space="preserve"> </w:t>
      </w:r>
      <w:r w:rsidR="00AF60C7">
        <w:t>quickly</w:t>
      </w:r>
      <w:r w:rsidR="00F00B2D">
        <w:t xml:space="preserve"> </w:t>
      </w:r>
      <w:r w:rsidR="00455A00" w:rsidRPr="00B9217D">
        <w:t>reveal</w:t>
      </w:r>
      <w:r w:rsidR="00AF60C7">
        <w:t>ed</w:t>
      </w:r>
      <w:r w:rsidR="00455A00" w:rsidRPr="00B9217D">
        <w:t xml:space="preserve"> ‘distorted gravity’</w:t>
      </w:r>
      <w:r w:rsidR="00220550">
        <w:t xml:space="preserve"> </w:t>
      </w:r>
      <w:r w:rsidR="007E66C6">
        <w:t>due</w:t>
      </w:r>
      <w:r w:rsidR="00781824" w:rsidRPr="00B9217D">
        <w:t xml:space="preserve"> to the increasing pandemic </w:t>
      </w:r>
      <w:r w:rsidR="002C4908">
        <w:t>effect</w:t>
      </w:r>
      <w:r w:rsidR="007E66C6">
        <w:t xml:space="preserve">, </w:t>
      </w:r>
      <w:r w:rsidR="00220550" w:rsidRPr="00FD2CA7">
        <w:rPr>
          <w:color w:val="1E1E1E"/>
        </w:rPr>
        <w:t xml:space="preserve">the increasing </w:t>
      </w:r>
      <w:r w:rsidR="00220550">
        <w:rPr>
          <w:color w:val="1E1E1E"/>
        </w:rPr>
        <w:t xml:space="preserve">level of </w:t>
      </w:r>
      <w:r w:rsidR="007E66C6">
        <w:rPr>
          <w:color w:val="1E1E1E"/>
        </w:rPr>
        <w:t>circuit breakers (</w:t>
      </w:r>
      <w:r w:rsidR="00220550">
        <w:rPr>
          <w:color w:val="1E1E1E"/>
        </w:rPr>
        <w:t>lockdown</w:t>
      </w:r>
      <w:r w:rsidR="007E66C6">
        <w:rPr>
          <w:color w:val="1E1E1E"/>
        </w:rPr>
        <w:t>s).</w:t>
      </w:r>
      <w:r w:rsidR="0003190D">
        <w:rPr>
          <w:color w:val="1E1E1E"/>
        </w:rPr>
        <w:t xml:space="preserve"> </w:t>
      </w:r>
      <w:r w:rsidR="007E1B48" w:rsidRPr="00FD2CA7">
        <w:rPr>
          <w:color w:val="000000" w:themeColor="text1"/>
          <w:shd w:val="clear" w:color="auto" w:fill="FFFFFF"/>
        </w:rPr>
        <w:t xml:space="preserve">Gravity models </w:t>
      </w:r>
      <w:r w:rsidR="007E1B48" w:rsidRPr="00FD2CA7">
        <w:rPr>
          <w:color w:val="000000" w:themeColor="text1"/>
        </w:rPr>
        <w:t xml:space="preserve">in economic theory </w:t>
      </w:r>
      <w:r w:rsidR="007E1B48" w:rsidRPr="00FD2CA7">
        <w:rPr>
          <w:color w:val="000000" w:themeColor="text1"/>
          <w:shd w:val="clear" w:color="auto" w:fill="FFFFFF"/>
        </w:rPr>
        <w:t xml:space="preserve">(e.g., </w:t>
      </w:r>
      <w:proofErr w:type="spellStart"/>
      <w:r w:rsidR="007E1B48" w:rsidRPr="00FD2CA7">
        <w:t>Bergstrand</w:t>
      </w:r>
      <w:proofErr w:type="spellEnd"/>
      <w:r w:rsidR="007E1B48" w:rsidRPr="00FD2CA7">
        <w:t>, 1985;</w:t>
      </w:r>
      <w:r w:rsidR="007E1B48" w:rsidRPr="00FD2CA7">
        <w:rPr>
          <w:color w:val="000000" w:themeColor="text1"/>
        </w:rPr>
        <w:t xml:space="preserve"> Chaney, 2018) recogni</w:t>
      </w:r>
      <w:r w:rsidR="006F1E41">
        <w:rPr>
          <w:color w:val="000000" w:themeColor="text1"/>
        </w:rPr>
        <w:t>s</w:t>
      </w:r>
      <w:r w:rsidR="007E1B48" w:rsidRPr="00FD2CA7">
        <w:rPr>
          <w:color w:val="000000" w:themeColor="text1"/>
        </w:rPr>
        <w:t xml:space="preserve">e the </w:t>
      </w:r>
      <w:r w:rsidR="007E1B48" w:rsidRPr="00FD2CA7">
        <w:rPr>
          <w:color w:val="000000" w:themeColor="text1"/>
          <w:shd w:val="clear" w:color="auto" w:fill="FFFFFF"/>
        </w:rPr>
        <w:t xml:space="preserve">benefits </w:t>
      </w:r>
      <w:r w:rsidR="00923B7B">
        <w:rPr>
          <w:color w:val="000000" w:themeColor="text1"/>
          <w:shd w:val="clear" w:color="auto" w:fill="FFFFFF"/>
        </w:rPr>
        <w:t>of</w:t>
      </w:r>
      <w:r w:rsidR="00923B7B" w:rsidRPr="00FD2CA7">
        <w:rPr>
          <w:color w:val="000000" w:themeColor="text1"/>
        </w:rPr>
        <w:t xml:space="preserve"> </w:t>
      </w:r>
      <w:r w:rsidR="007E1B48" w:rsidRPr="00FD2CA7">
        <w:rPr>
          <w:color w:val="000000" w:themeColor="text1"/>
        </w:rPr>
        <w:t>globali</w:t>
      </w:r>
      <w:r w:rsidR="006F1E41">
        <w:rPr>
          <w:color w:val="000000" w:themeColor="text1"/>
        </w:rPr>
        <w:t>s</w:t>
      </w:r>
      <w:r w:rsidR="007E1B48" w:rsidRPr="00FD2CA7">
        <w:rPr>
          <w:color w:val="000000" w:themeColor="text1"/>
        </w:rPr>
        <w:t xml:space="preserve">ation </w:t>
      </w:r>
      <w:r w:rsidR="007E1B48" w:rsidRPr="00FD2CA7">
        <w:t xml:space="preserve">such that a gravitational pull accelerates economic activity through increasing socioeconomic interdependencies across </w:t>
      </w:r>
      <w:r w:rsidR="00C448FC" w:rsidRPr="00FD2CA7">
        <w:t>ever</w:t>
      </w:r>
      <w:r w:rsidR="00C448FC">
        <w:t>-</w:t>
      </w:r>
      <w:r w:rsidR="007E1B48" w:rsidRPr="00FD2CA7">
        <w:t>expanding geographical</w:t>
      </w:r>
      <w:r w:rsidR="00393107">
        <w:t xml:space="preserve"> </w:t>
      </w:r>
      <w:r w:rsidR="007E1B48" w:rsidRPr="00FD2CA7">
        <w:t>regions, generating further trade and enhanced producti</w:t>
      </w:r>
      <w:r w:rsidR="00B703B3">
        <w:t>on</w:t>
      </w:r>
      <w:r w:rsidR="007E1B48" w:rsidRPr="00FD2CA7">
        <w:t>.</w:t>
      </w:r>
      <w:r w:rsidR="007E1B48">
        <w:rPr>
          <w:color w:val="000000"/>
        </w:rPr>
        <w:t xml:space="preserve"> </w:t>
      </w:r>
    </w:p>
    <w:p w14:paraId="2F666DCB" w14:textId="73EA7E76" w:rsidR="005A2696" w:rsidRPr="00AE6602" w:rsidRDefault="005A2696" w:rsidP="00D44EBD">
      <w:pPr>
        <w:tabs>
          <w:tab w:val="left" w:pos="426"/>
        </w:tabs>
        <w:spacing w:after="120" w:line="480" w:lineRule="auto"/>
        <w:ind w:firstLine="284"/>
        <w:jc w:val="both"/>
        <w:rPr>
          <w:color w:val="21242C"/>
        </w:rPr>
      </w:pPr>
      <w:r w:rsidRPr="00FD2CA7">
        <w:t xml:space="preserve">However, </w:t>
      </w:r>
      <w:r>
        <w:t>when the pandemic impact deepened, our</w:t>
      </w:r>
      <w:r w:rsidRPr="00FD2CA7">
        <w:t xml:space="preserve"> figures show</w:t>
      </w:r>
      <w:r>
        <w:t>,</w:t>
      </w:r>
      <w:r w:rsidRPr="00FD2CA7">
        <w:t xml:space="preserve"> India GDP growth was 7% and 5% in the second quarter of </w:t>
      </w:r>
      <w:r>
        <w:t>2</w:t>
      </w:r>
      <w:r w:rsidRPr="00FD2CA7">
        <w:t>018 and 2019, respectively, but in 2020, GDP had fallen dramatically by 23.5</w:t>
      </w:r>
      <w:r>
        <w:t xml:space="preserve">. And </w:t>
      </w:r>
      <w:r w:rsidRPr="00FD2CA7">
        <w:t>UK is the second hardest</w:t>
      </w:r>
      <w:r>
        <w:t>-</w:t>
      </w:r>
      <w:r w:rsidRPr="00FD2CA7">
        <w:t>hit country with GDP down by 21%, France is the third hardest</w:t>
      </w:r>
      <w:r>
        <w:t>-</w:t>
      </w:r>
      <w:r w:rsidRPr="00FD2CA7">
        <w:t>hit country, with GDP falling by 18.9%, and the United States 9.1</w:t>
      </w:r>
      <w:r>
        <w:t xml:space="preserve">. </w:t>
      </w:r>
      <w:r w:rsidRPr="00FD2CA7">
        <w:t>While GDP contracted by an average of 11.8% in all other G20 economies, in the second quarter of 2020</w:t>
      </w:r>
      <w:r>
        <w:t xml:space="preserve">, </w:t>
      </w:r>
      <w:r w:rsidRPr="00FD2CA7">
        <w:t>India recorded the largest annual fall (23.5%)</w:t>
      </w:r>
      <w:r>
        <w:t>.</w:t>
      </w:r>
      <w:r w:rsidRPr="00FD2CA7">
        <w:t xml:space="preserve"> </w:t>
      </w:r>
      <w:r>
        <w:t xml:space="preserve">The widely felted effect included </w:t>
      </w:r>
      <w:r w:rsidRPr="00FD2CA7">
        <w:t>China</w:t>
      </w:r>
      <w:r w:rsidR="00923B7B">
        <w:t>;</w:t>
      </w:r>
      <w:r w:rsidR="00923B7B" w:rsidRPr="00FD2CA7">
        <w:t xml:space="preserve"> </w:t>
      </w:r>
      <w:r>
        <w:t xml:space="preserve">though it </w:t>
      </w:r>
      <w:r w:rsidRPr="00FD2CA7">
        <w:t xml:space="preserve">was the only G20 country recording growth the annual growth </w:t>
      </w:r>
      <w:r>
        <w:t xml:space="preserve">of </w:t>
      </w:r>
      <w:r w:rsidRPr="00FD2CA7">
        <w:lastRenderedPageBreak/>
        <w:t>3.2%</w:t>
      </w:r>
      <w:r>
        <w:t xml:space="preserve"> during 2020, the growth rate was still much lower than the country’s average growth before the Pandemic</w:t>
      </w:r>
      <w:r w:rsidRPr="00FD2CA7">
        <w:t xml:space="preserve"> </w:t>
      </w:r>
      <w:r>
        <w:t>(see, World Bank, 2018).</w:t>
      </w:r>
    </w:p>
    <w:p w14:paraId="51CE63AB" w14:textId="77777777" w:rsidR="00C21ED5" w:rsidRPr="00FD2CA7" w:rsidRDefault="00C21ED5" w:rsidP="009D468A">
      <w:pPr>
        <w:spacing w:after="120" w:line="480" w:lineRule="auto"/>
        <w:jc w:val="both"/>
      </w:pPr>
      <w:r>
        <w:rPr>
          <w:noProof/>
        </w:rPr>
        <w:drawing>
          <wp:inline distT="0" distB="0" distL="0" distR="0" wp14:anchorId="32C7330C" wp14:editId="1EFE319F">
            <wp:extent cx="5566867" cy="3480371"/>
            <wp:effectExtent l="0" t="0" r="0" b="0"/>
            <wp:docPr id="66" name="Picture 6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Chart, histogram&#10;&#10;Description automatically generated"/>
                    <pic:cNvPicPr/>
                  </pic:nvPicPr>
                  <pic:blipFill>
                    <a:blip r:embed="rId8"/>
                    <a:stretch>
                      <a:fillRect/>
                    </a:stretch>
                  </pic:blipFill>
                  <pic:spPr>
                    <a:xfrm>
                      <a:off x="0" y="0"/>
                      <a:ext cx="5577985" cy="3487322"/>
                    </a:xfrm>
                    <a:prstGeom prst="rect">
                      <a:avLst/>
                    </a:prstGeom>
                  </pic:spPr>
                </pic:pic>
              </a:graphicData>
            </a:graphic>
          </wp:inline>
        </w:drawing>
      </w:r>
    </w:p>
    <w:p w14:paraId="75D271C8" w14:textId="2C73E5D0" w:rsidR="00C21ED5" w:rsidRDefault="00C21ED5" w:rsidP="009D468A">
      <w:pPr>
        <w:spacing w:after="120" w:line="480" w:lineRule="auto"/>
        <w:jc w:val="both"/>
      </w:pPr>
      <w:r w:rsidRPr="00FD2CA7">
        <w:rPr>
          <w:b/>
          <w:bCs/>
        </w:rPr>
        <w:t>Fig</w:t>
      </w:r>
      <w:r w:rsidR="000A4CFF">
        <w:rPr>
          <w:b/>
          <w:bCs/>
        </w:rPr>
        <w:t>ure</w:t>
      </w:r>
      <w:r w:rsidRPr="00FD2CA7">
        <w:rPr>
          <w:b/>
          <w:bCs/>
        </w:rPr>
        <w:t xml:space="preserve"> </w:t>
      </w:r>
      <w:r w:rsidR="000A4CFF">
        <w:rPr>
          <w:b/>
          <w:bCs/>
        </w:rPr>
        <w:t>1</w:t>
      </w:r>
      <w:r w:rsidR="00236539">
        <w:rPr>
          <w:b/>
          <w:bCs/>
        </w:rPr>
        <w:t>a-1d</w:t>
      </w:r>
      <w:r w:rsidR="000A4CFF">
        <w:rPr>
          <w:b/>
          <w:bCs/>
        </w:rPr>
        <w:t>.</w:t>
      </w:r>
      <w:r w:rsidRPr="00FD2CA7">
        <w:rPr>
          <w:b/>
          <w:bCs/>
        </w:rPr>
        <w:t xml:space="preserve"> </w:t>
      </w:r>
      <w:r w:rsidRPr="00FD2CA7">
        <w:t xml:space="preserve">Distorted gravity: </w:t>
      </w:r>
      <w:r w:rsidR="0066106F">
        <w:t>COVID</w:t>
      </w:r>
      <w:r w:rsidRPr="00FD2CA7">
        <w:t>-19 negative impact</w:t>
      </w:r>
      <w:r w:rsidR="00C441DC" w:rsidRPr="00C441DC">
        <w:t xml:space="preserve"> </w:t>
      </w:r>
      <w:r w:rsidR="00C441DC">
        <w:t xml:space="preserve">on </w:t>
      </w:r>
      <w:r w:rsidR="00C441DC" w:rsidRPr="00FD2CA7">
        <w:t>GDP</w:t>
      </w:r>
      <w:r w:rsidR="00C441DC">
        <w:t>.</w:t>
      </w:r>
      <w:r w:rsidRPr="00FD2CA7">
        <w:t xml:space="preserve"> </w:t>
      </w:r>
      <w:r w:rsidR="006F1B04">
        <w:t>G</w:t>
      </w:r>
      <w:r w:rsidR="00C441DC" w:rsidRPr="00FD2CA7">
        <w:t>enerated by the author</w:t>
      </w:r>
      <w:r w:rsidR="00C441DC">
        <w:t xml:space="preserve">s </w:t>
      </w:r>
      <w:r w:rsidR="006F1B04">
        <w:t xml:space="preserve">in </w:t>
      </w:r>
      <w:r w:rsidR="00C441DC">
        <w:t>using</w:t>
      </w:r>
      <w:r w:rsidRPr="00FD2CA7">
        <w:t xml:space="preserve"> OECD release. </w:t>
      </w:r>
    </w:p>
    <w:p w14:paraId="5295F281" w14:textId="744405C0" w:rsidR="008448B6" w:rsidRPr="009F0613" w:rsidRDefault="008448B6" w:rsidP="009D468A">
      <w:pPr>
        <w:spacing w:before="240" w:after="120" w:line="480" w:lineRule="auto"/>
        <w:jc w:val="both"/>
        <w:rPr>
          <w:bCs/>
          <w:i/>
          <w:iCs/>
        </w:rPr>
      </w:pPr>
      <w:r w:rsidRPr="009F0613">
        <w:rPr>
          <w:bCs/>
          <w:i/>
          <w:iCs/>
        </w:rPr>
        <w:t>Diffusing business</w:t>
      </w:r>
      <w:r w:rsidR="007F0A4A" w:rsidRPr="009F0613">
        <w:rPr>
          <w:bCs/>
          <w:i/>
          <w:iCs/>
        </w:rPr>
        <w:t xml:space="preserve"> resilience</w:t>
      </w:r>
    </w:p>
    <w:p w14:paraId="5D852C7B" w14:textId="08E30DD1" w:rsidR="00352E29" w:rsidRDefault="00B703B3" w:rsidP="000669BA">
      <w:pPr>
        <w:spacing w:after="120" w:line="480" w:lineRule="auto"/>
        <w:jc w:val="both"/>
      </w:pPr>
      <w:r>
        <w:t xml:space="preserve">While </w:t>
      </w:r>
      <w:r w:rsidR="00A114D8">
        <w:t xml:space="preserve">many businesses demonstrated </w:t>
      </w:r>
      <w:r>
        <w:t xml:space="preserve">the </w:t>
      </w:r>
      <w:r w:rsidR="00A114D8">
        <w:t xml:space="preserve">Darwinian </w:t>
      </w:r>
      <w:r>
        <w:t xml:space="preserve">struggle to survive, others demonstrated </w:t>
      </w:r>
      <w:r w:rsidR="00A114D8">
        <w:t xml:space="preserve">evolutionary fitness and survival, </w:t>
      </w:r>
      <w:r>
        <w:t xml:space="preserve">with </w:t>
      </w:r>
      <w:r w:rsidR="00A114D8">
        <w:t>t</w:t>
      </w:r>
      <w:r w:rsidR="008448B6" w:rsidRPr="00FD2CA7">
        <w:t>he pandemic situation</w:t>
      </w:r>
      <w:r w:rsidR="00997BB6">
        <w:t xml:space="preserve"> </w:t>
      </w:r>
      <w:r w:rsidR="00601AC0">
        <w:t>creat</w:t>
      </w:r>
      <w:r>
        <w:t>ing</w:t>
      </w:r>
      <w:r w:rsidR="00601AC0">
        <w:t xml:space="preserve"> </w:t>
      </w:r>
      <w:r w:rsidR="008448B6" w:rsidRPr="00FD2CA7">
        <w:t xml:space="preserve">opportunities </w:t>
      </w:r>
      <w:r>
        <w:t xml:space="preserve">that </w:t>
      </w:r>
      <w:r w:rsidR="00A114D8">
        <w:t>stimulat</w:t>
      </w:r>
      <w:r>
        <w:t xml:space="preserve">ed </w:t>
      </w:r>
      <w:r w:rsidR="00A114D8">
        <w:t xml:space="preserve">growth </w:t>
      </w:r>
      <w:r w:rsidR="00DD20EA">
        <w:t xml:space="preserve">in some areas. For example, </w:t>
      </w:r>
      <w:r w:rsidR="00FB2C4A" w:rsidRPr="00FB2C4A">
        <w:rPr>
          <w:color w:val="202122"/>
        </w:rPr>
        <w:t xml:space="preserve">Liu, Wang, and Lee </w:t>
      </w:r>
      <w:r w:rsidR="00E45CCF">
        <w:rPr>
          <w:color w:val="202122"/>
        </w:rPr>
        <w:t>(</w:t>
      </w:r>
      <w:r w:rsidR="00FB2C4A" w:rsidRPr="00FB2C4A">
        <w:rPr>
          <w:color w:val="202122"/>
        </w:rPr>
        <w:t xml:space="preserve">2020) provide </w:t>
      </w:r>
      <w:r w:rsidR="00C448FC" w:rsidRPr="00FB2C4A">
        <w:rPr>
          <w:color w:val="202122"/>
        </w:rPr>
        <w:t>evidence</w:t>
      </w:r>
      <w:r w:rsidR="00C448FC">
        <w:rPr>
          <w:color w:val="202122"/>
        </w:rPr>
        <w:t>-</w:t>
      </w:r>
      <w:r w:rsidR="00FB2C4A" w:rsidRPr="00FB2C4A">
        <w:rPr>
          <w:color w:val="202122"/>
        </w:rPr>
        <w:t xml:space="preserve">based </w:t>
      </w:r>
      <w:r w:rsidR="005435FF">
        <w:rPr>
          <w:color w:val="202122"/>
        </w:rPr>
        <w:t>information on the US crude oil market. The</w:t>
      </w:r>
      <w:r w:rsidR="00127A47">
        <w:rPr>
          <w:color w:val="202122"/>
        </w:rPr>
        <w:t>ir</w:t>
      </w:r>
      <w:r w:rsidR="005435FF">
        <w:rPr>
          <w:color w:val="202122"/>
        </w:rPr>
        <w:t xml:space="preserve"> results show that the COVID-19 Pandemic cannot exert a negative effect but has a statistically significant positive effect on crude oil</w:t>
      </w:r>
      <w:r w:rsidR="00F9706D" w:rsidRPr="00F9706D">
        <w:t xml:space="preserve"> and stock returns</w:t>
      </w:r>
      <w:r w:rsidR="00D813A1">
        <w:t>.</w:t>
      </w:r>
      <w:r w:rsidR="009313FF">
        <w:t xml:space="preserve"> </w:t>
      </w:r>
      <w:r w:rsidR="00E45CCF">
        <w:rPr>
          <w:color w:val="000000" w:themeColor="text1"/>
        </w:rPr>
        <w:t xml:space="preserve">In using </w:t>
      </w:r>
      <w:r w:rsidR="007F0A4A">
        <w:rPr>
          <w:color w:val="000000" w:themeColor="text1"/>
        </w:rPr>
        <w:t xml:space="preserve">the </w:t>
      </w:r>
      <w:r w:rsidR="00E45CCF">
        <w:rPr>
          <w:color w:val="000000" w:themeColor="text1"/>
        </w:rPr>
        <w:t>example of</w:t>
      </w:r>
      <w:r w:rsidR="007F0A4A">
        <w:rPr>
          <w:color w:val="000000" w:themeColor="text1"/>
        </w:rPr>
        <w:t xml:space="preserve"> university programs: </w:t>
      </w:r>
      <w:r w:rsidR="00E45CCF">
        <w:rPr>
          <w:color w:val="000000" w:themeColor="text1"/>
        </w:rPr>
        <w:t>MBA</w:t>
      </w:r>
      <w:r w:rsidR="00E45CCF" w:rsidRPr="00954F2D">
        <w:rPr>
          <w:color w:val="000000" w:themeColor="text1"/>
        </w:rPr>
        <w:t xml:space="preserve"> </w:t>
      </w:r>
      <w:r w:rsidR="00E45CCF">
        <w:rPr>
          <w:color w:val="000000" w:themeColor="text1"/>
        </w:rPr>
        <w:t>and Public Health,</w:t>
      </w:r>
      <w:r w:rsidR="00E45CCF" w:rsidRPr="00FD2CA7">
        <w:rPr>
          <w:color w:val="000000" w:themeColor="text1"/>
        </w:rPr>
        <w:t xml:space="preserve"> </w:t>
      </w:r>
      <w:r w:rsidR="00127A47">
        <w:rPr>
          <w:color w:val="000000" w:themeColor="text1"/>
        </w:rPr>
        <w:t xml:space="preserve">we reveal that </w:t>
      </w:r>
      <w:r w:rsidR="008448B6">
        <w:rPr>
          <w:color w:val="000000" w:themeColor="text1"/>
        </w:rPr>
        <w:t>s</w:t>
      </w:r>
      <w:r w:rsidR="008448B6" w:rsidRPr="00FD2CA7">
        <w:rPr>
          <w:color w:val="000000" w:themeColor="text1"/>
        </w:rPr>
        <w:t xml:space="preserve">tudent </w:t>
      </w:r>
      <w:r w:rsidR="005363B2">
        <w:rPr>
          <w:color w:val="000000" w:themeColor="text1"/>
        </w:rPr>
        <w:t xml:space="preserve">admissions </w:t>
      </w:r>
      <w:r w:rsidR="00DD20EA">
        <w:rPr>
          <w:color w:val="000000" w:themeColor="text1"/>
        </w:rPr>
        <w:t>ha</w:t>
      </w:r>
      <w:r w:rsidR="005363B2">
        <w:rPr>
          <w:color w:val="000000" w:themeColor="text1"/>
        </w:rPr>
        <w:t>ve</w:t>
      </w:r>
      <w:r w:rsidR="00DD20EA">
        <w:rPr>
          <w:color w:val="000000" w:themeColor="text1"/>
        </w:rPr>
        <w:t xml:space="preserve"> </w:t>
      </w:r>
      <w:r w:rsidR="005363B2">
        <w:rPr>
          <w:color w:val="000000" w:themeColor="text1"/>
        </w:rPr>
        <w:t xml:space="preserve">remarkable </w:t>
      </w:r>
      <w:r w:rsidR="00FB2C4A">
        <w:rPr>
          <w:color w:val="000000" w:themeColor="text1"/>
        </w:rPr>
        <w:t>features</w:t>
      </w:r>
      <w:r w:rsidR="00954F2D">
        <w:rPr>
          <w:color w:val="000000" w:themeColor="text1"/>
        </w:rPr>
        <w:t xml:space="preserve"> such as </w:t>
      </w:r>
      <w:r w:rsidR="00BD1833">
        <w:rPr>
          <w:color w:val="000000" w:themeColor="text1"/>
        </w:rPr>
        <w:t>d</w:t>
      </w:r>
      <w:r w:rsidR="008448B6" w:rsidRPr="00FD2CA7">
        <w:rPr>
          <w:color w:val="000000" w:themeColor="text1"/>
        </w:rPr>
        <w:t>oubl</w:t>
      </w:r>
      <w:r w:rsidR="005363B2">
        <w:rPr>
          <w:color w:val="000000" w:themeColor="text1"/>
        </w:rPr>
        <w:t>ing</w:t>
      </w:r>
      <w:r w:rsidR="008448B6" w:rsidRPr="00FD2CA7">
        <w:rPr>
          <w:color w:val="000000" w:themeColor="text1"/>
        </w:rPr>
        <w:t xml:space="preserve"> growth</w:t>
      </w:r>
      <w:r w:rsidR="00954F2D">
        <w:rPr>
          <w:color w:val="000000" w:themeColor="text1"/>
        </w:rPr>
        <w:t xml:space="preserve"> </w:t>
      </w:r>
      <w:r w:rsidR="00DD20EA">
        <w:rPr>
          <w:color w:val="000000" w:themeColor="text1"/>
        </w:rPr>
        <w:t>rates</w:t>
      </w:r>
      <w:r w:rsidR="005363B2">
        <w:rPr>
          <w:color w:val="000000" w:themeColor="text1"/>
        </w:rPr>
        <w:t xml:space="preserve">, comparing </w:t>
      </w:r>
      <w:r w:rsidR="00C95A28">
        <w:rPr>
          <w:color w:val="000000" w:themeColor="text1"/>
        </w:rPr>
        <w:t>202</w:t>
      </w:r>
      <w:r w:rsidR="00BD1833">
        <w:rPr>
          <w:color w:val="000000" w:themeColor="text1"/>
        </w:rPr>
        <w:t>1</w:t>
      </w:r>
      <w:r w:rsidR="005C59EC">
        <w:rPr>
          <w:color w:val="000000" w:themeColor="text1"/>
        </w:rPr>
        <w:t xml:space="preserve"> </w:t>
      </w:r>
      <w:r w:rsidR="00DD20EA">
        <w:rPr>
          <w:color w:val="000000" w:themeColor="text1"/>
        </w:rPr>
        <w:t>student number</w:t>
      </w:r>
      <w:r w:rsidR="005363B2">
        <w:rPr>
          <w:color w:val="000000" w:themeColor="text1"/>
        </w:rPr>
        <w:t>s</w:t>
      </w:r>
      <w:r w:rsidR="00DD20EA">
        <w:rPr>
          <w:color w:val="000000" w:themeColor="text1"/>
        </w:rPr>
        <w:t xml:space="preserve"> </w:t>
      </w:r>
      <w:r w:rsidR="005363B2">
        <w:rPr>
          <w:color w:val="000000" w:themeColor="text1"/>
        </w:rPr>
        <w:t xml:space="preserve">with </w:t>
      </w:r>
      <w:r w:rsidR="00BD1833">
        <w:rPr>
          <w:color w:val="000000" w:themeColor="text1"/>
        </w:rPr>
        <w:t xml:space="preserve">2020. </w:t>
      </w:r>
      <w:r w:rsidR="005C59EC">
        <w:t>Further,</w:t>
      </w:r>
      <w:r w:rsidR="00576749">
        <w:t xml:space="preserve"> d</w:t>
      </w:r>
      <w:r w:rsidR="00031A37">
        <w:t xml:space="preserve">uring </w:t>
      </w:r>
      <w:r w:rsidR="00212DB1">
        <w:t>the time</w:t>
      </w:r>
      <w:r w:rsidR="00923B7B">
        <w:t>,</w:t>
      </w:r>
      <w:r w:rsidR="00031A37">
        <w:t xml:space="preserve"> </w:t>
      </w:r>
      <w:r w:rsidR="00212DB1">
        <w:t>many</w:t>
      </w:r>
      <w:r w:rsidR="00031A37">
        <w:t xml:space="preserve"> online businesses </w:t>
      </w:r>
      <w:r w:rsidR="005363B2">
        <w:t xml:space="preserve">tripled their </w:t>
      </w:r>
      <w:r w:rsidR="00031A37">
        <w:t xml:space="preserve">annual revenues (e.g., Amazon, </w:t>
      </w:r>
      <w:r w:rsidR="00991322">
        <w:t xml:space="preserve">Facebook or Meta, </w:t>
      </w:r>
      <w:r w:rsidR="006F0C9E">
        <w:t xml:space="preserve">UK Royal Mail, </w:t>
      </w:r>
      <w:r w:rsidR="00991322">
        <w:t>and so forth)</w:t>
      </w:r>
      <w:r w:rsidR="00057905">
        <w:t xml:space="preserve">. The </w:t>
      </w:r>
      <w:r w:rsidR="00057905">
        <w:lastRenderedPageBreak/>
        <w:t>emerging trends suggest that i</w:t>
      </w:r>
      <w:r w:rsidR="00057905" w:rsidRPr="00FD2CA7">
        <w:t xml:space="preserve">n </w:t>
      </w:r>
      <w:r w:rsidR="00C448FC" w:rsidRPr="00FD2CA7">
        <w:t>high</w:t>
      </w:r>
      <w:r w:rsidR="00C448FC">
        <w:t>-</w:t>
      </w:r>
      <w:r w:rsidR="00057905" w:rsidRPr="00FD2CA7">
        <w:t>velocity environment</w:t>
      </w:r>
      <w:r w:rsidR="005363B2">
        <w:t>s</w:t>
      </w:r>
      <w:r w:rsidR="00057905">
        <w:t>,</w:t>
      </w:r>
      <w:r w:rsidR="00057905" w:rsidRPr="00FD2CA7">
        <w:t xml:space="preserve"> </w:t>
      </w:r>
      <w:r w:rsidR="00057905">
        <w:t>organi</w:t>
      </w:r>
      <w:r w:rsidR="006F1E41">
        <w:t>s</w:t>
      </w:r>
      <w:r w:rsidR="00057905">
        <w:t xml:space="preserve">ations </w:t>
      </w:r>
      <w:r w:rsidR="005435FF">
        <w:t>can recognise</w:t>
      </w:r>
      <w:r w:rsidR="005363B2">
        <w:t xml:space="preserve"> the </w:t>
      </w:r>
      <w:r w:rsidR="00057905">
        <w:t xml:space="preserve">agility, adaptation, </w:t>
      </w:r>
      <w:r w:rsidR="00057905" w:rsidRPr="00FD2CA7">
        <w:t>speed</w:t>
      </w:r>
      <w:r w:rsidR="00057905">
        <w:t>,</w:t>
      </w:r>
      <w:r w:rsidR="00057905" w:rsidRPr="00FD2CA7">
        <w:t xml:space="preserve"> and </w:t>
      </w:r>
      <w:r w:rsidR="005363B2">
        <w:t xml:space="preserve">alternative use of resources that provide a </w:t>
      </w:r>
      <w:r w:rsidR="00057905">
        <w:t xml:space="preserve">transformational quality </w:t>
      </w:r>
      <w:r w:rsidR="005363B2">
        <w:t xml:space="preserve">in </w:t>
      </w:r>
      <w:r w:rsidR="00057905">
        <w:t>achiev</w:t>
      </w:r>
      <w:r w:rsidR="005363B2">
        <w:t xml:space="preserve">ing business </w:t>
      </w:r>
      <w:r w:rsidR="00057905" w:rsidRPr="00FD2CA7">
        <w:t>effectiveness</w:t>
      </w:r>
      <w:r w:rsidR="005363B2">
        <w:t xml:space="preserve">, different </w:t>
      </w:r>
      <w:r w:rsidR="00057905" w:rsidRPr="00FD2CA7">
        <w:t>position</w:t>
      </w:r>
      <w:r w:rsidR="00057905">
        <w:t>s</w:t>
      </w:r>
      <w:r w:rsidR="005363B2">
        <w:t>,</w:t>
      </w:r>
      <w:r w:rsidR="00057905" w:rsidRPr="00FD2CA7">
        <w:t xml:space="preserve"> and movement</w:t>
      </w:r>
      <w:r w:rsidR="00057905">
        <w:t>.</w:t>
      </w:r>
    </w:p>
    <w:p w14:paraId="3C6BCC7C" w14:textId="4F91F29C" w:rsidR="00C5068A" w:rsidRDefault="005363B2" w:rsidP="009D468A">
      <w:pPr>
        <w:spacing w:after="120" w:line="480" w:lineRule="auto"/>
        <w:ind w:firstLine="284"/>
        <w:jc w:val="both"/>
      </w:pPr>
      <w:r>
        <w:rPr>
          <w:bCs/>
        </w:rPr>
        <w:t xml:space="preserve">While the </w:t>
      </w:r>
      <w:r w:rsidR="0066106F">
        <w:rPr>
          <w:bCs/>
        </w:rPr>
        <w:t>COVID</w:t>
      </w:r>
      <w:r w:rsidR="00C75469" w:rsidRPr="005D3818">
        <w:rPr>
          <w:bCs/>
        </w:rPr>
        <w:t xml:space="preserve">-19 virus </w:t>
      </w:r>
      <w:r>
        <w:rPr>
          <w:bCs/>
        </w:rPr>
        <w:t xml:space="preserve">may </w:t>
      </w:r>
      <w:r w:rsidR="00C75469" w:rsidRPr="005D3818">
        <w:rPr>
          <w:bCs/>
        </w:rPr>
        <w:t xml:space="preserve">present fewer options for the corporate sector since many companies </w:t>
      </w:r>
      <w:r w:rsidR="009E3F46">
        <w:rPr>
          <w:bCs/>
        </w:rPr>
        <w:t xml:space="preserve">had to </w:t>
      </w:r>
      <w:r w:rsidR="00C75469" w:rsidRPr="005D3818">
        <w:rPr>
          <w:bCs/>
        </w:rPr>
        <w:t>shut down their operations</w:t>
      </w:r>
      <w:r w:rsidR="00C75469">
        <w:rPr>
          <w:bCs/>
        </w:rPr>
        <w:t>, thus</w:t>
      </w:r>
      <w:r w:rsidR="006D4A89">
        <w:rPr>
          <w:bCs/>
        </w:rPr>
        <w:t>,</w:t>
      </w:r>
      <w:r w:rsidR="00C75469">
        <w:rPr>
          <w:bCs/>
        </w:rPr>
        <w:t xml:space="preserve"> </w:t>
      </w:r>
      <w:r w:rsidR="00C75469" w:rsidRPr="005D3818">
        <w:rPr>
          <w:bCs/>
        </w:rPr>
        <w:t>eliminat</w:t>
      </w:r>
      <w:r w:rsidR="00C75469">
        <w:rPr>
          <w:bCs/>
        </w:rPr>
        <w:t>ing</w:t>
      </w:r>
      <w:r w:rsidR="00C75469" w:rsidRPr="005D3818">
        <w:rPr>
          <w:bCs/>
        </w:rPr>
        <w:t xml:space="preserve"> the possibilities for keeping options</w:t>
      </w:r>
      <w:r>
        <w:rPr>
          <w:bCs/>
        </w:rPr>
        <w:t xml:space="preserve"> alive</w:t>
      </w:r>
      <w:r w:rsidR="00C75469" w:rsidRPr="005D3818">
        <w:rPr>
          <w:bCs/>
        </w:rPr>
        <w:t>.</w:t>
      </w:r>
      <w:r w:rsidR="005435FF">
        <w:rPr>
          <w:bCs/>
        </w:rPr>
        <w:t xml:space="preserve"> </w:t>
      </w:r>
      <w:r>
        <w:rPr>
          <w:bCs/>
        </w:rPr>
        <w:t>Other corporates had</w:t>
      </w:r>
      <w:r w:rsidR="00A56DE1">
        <w:rPr>
          <w:bCs/>
        </w:rPr>
        <w:t xml:space="preserve"> options</w:t>
      </w:r>
      <w:r>
        <w:rPr>
          <w:bCs/>
        </w:rPr>
        <w:t xml:space="preserve">, </w:t>
      </w:r>
      <w:r w:rsidR="00C75469" w:rsidRPr="005D3818">
        <w:rPr>
          <w:bCs/>
        </w:rPr>
        <w:t>those selling essential products (i.e., supermarkets), services (</w:t>
      </w:r>
      <w:r w:rsidR="006413C5" w:rsidRPr="005D3818">
        <w:rPr>
          <w:bCs/>
        </w:rPr>
        <w:t>i</w:t>
      </w:r>
      <w:r w:rsidR="006413C5">
        <w:rPr>
          <w:bCs/>
        </w:rPr>
        <w:t>.</w:t>
      </w:r>
      <w:r w:rsidR="006413C5" w:rsidRPr="005D3818">
        <w:rPr>
          <w:bCs/>
        </w:rPr>
        <w:t>e.,</w:t>
      </w:r>
      <w:r w:rsidR="00C75469" w:rsidRPr="005D3818">
        <w:rPr>
          <w:bCs/>
        </w:rPr>
        <w:t xml:space="preserve"> banking and insurance), communication (mobile and </w:t>
      </w:r>
      <w:r w:rsidR="00C75469">
        <w:rPr>
          <w:bCs/>
        </w:rPr>
        <w:t xml:space="preserve">online </w:t>
      </w:r>
      <w:r w:rsidR="00C75469" w:rsidRPr="005D3818">
        <w:rPr>
          <w:bCs/>
        </w:rPr>
        <w:t>social networks)</w:t>
      </w:r>
      <w:r w:rsidR="00C75469">
        <w:rPr>
          <w:bCs/>
        </w:rPr>
        <w:t xml:space="preserve">, </w:t>
      </w:r>
      <w:r w:rsidR="00C75469" w:rsidRPr="005D3818">
        <w:rPr>
          <w:bCs/>
        </w:rPr>
        <w:t>energy companies</w:t>
      </w:r>
      <w:r w:rsidR="00C75469">
        <w:rPr>
          <w:bCs/>
        </w:rPr>
        <w:t xml:space="preserve">, </w:t>
      </w:r>
      <w:r w:rsidR="0096169B">
        <w:rPr>
          <w:bCs/>
        </w:rPr>
        <w:t>and</w:t>
      </w:r>
      <w:r w:rsidR="00C75469">
        <w:rPr>
          <w:bCs/>
        </w:rPr>
        <w:t xml:space="preserve"> education</w:t>
      </w:r>
      <w:r w:rsidR="00A56DE1">
        <w:rPr>
          <w:bCs/>
        </w:rPr>
        <w:t>.</w:t>
      </w:r>
      <w:r w:rsidR="00C75469">
        <w:rPr>
          <w:bCs/>
        </w:rPr>
        <w:t xml:space="preserve"> </w:t>
      </w:r>
      <w:r>
        <w:rPr>
          <w:bCs/>
        </w:rPr>
        <w:t xml:space="preserve">Thus, despite the </w:t>
      </w:r>
      <w:r w:rsidR="005209A6">
        <w:rPr>
          <w:bCs/>
        </w:rPr>
        <w:t>Pandemic</w:t>
      </w:r>
      <w:r>
        <w:rPr>
          <w:bCs/>
        </w:rPr>
        <w:t xml:space="preserve">, many </w:t>
      </w:r>
      <w:r w:rsidR="00A56DE1">
        <w:rPr>
          <w:bCs/>
        </w:rPr>
        <w:t>org</w:t>
      </w:r>
      <w:r w:rsidR="006D4A89">
        <w:rPr>
          <w:bCs/>
        </w:rPr>
        <w:t>a</w:t>
      </w:r>
      <w:r w:rsidR="00A56DE1">
        <w:rPr>
          <w:bCs/>
        </w:rPr>
        <w:t>ni</w:t>
      </w:r>
      <w:r w:rsidR="006F1E41">
        <w:rPr>
          <w:bCs/>
        </w:rPr>
        <w:t>s</w:t>
      </w:r>
      <w:r w:rsidR="00A56DE1">
        <w:rPr>
          <w:bCs/>
        </w:rPr>
        <w:t>ations</w:t>
      </w:r>
      <w:r>
        <w:rPr>
          <w:bCs/>
        </w:rPr>
        <w:t xml:space="preserve"> </w:t>
      </w:r>
      <w:r w:rsidR="00C75469">
        <w:rPr>
          <w:bCs/>
        </w:rPr>
        <w:t>have a range of growth</w:t>
      </w:r>
      <w:r w:rsidR="00C054AF">
        <w:rPr>
          <w:bCs/>
        </w:rPr>
        <w:t xml:space="preserve"> </w:t>
      </w:r>
      <w:r w:rsidR="00A56DE1">
        <w:rPr>
          <w:bCs/>
        </w:rPr>
        <w:t>opportunities</w:t>
      </w:r>
      <w:r w:rsidR="00C75469">
        <w:rPr>
          <w:bCs/>
        </w:rPr>
        <w:t xml:space="preserve">. </w:t>
      </w:r>
      <w:r w:rsidR="00035527">
        <w:rPr>
          <w:bCs/>
        </w:rPr>
        <w:t>S</w:t>
      </w:r>
      <w:r w:rsidR="00C75469">
        <w:rPr>
          <w:bCs/>
        </w:rPr>
        <w:t xml:space="preserve">ocial distancing and the focus on online activities increase the possibilities for corporate and government sectors to capitalise on advances in technology, creating </w:t>
      </w:r>
      <w:r w:rsidR="007606D5">
        <w:rPr>
          <w:bCs/>
        </w:rPr>
        <w:t xml:space="preserve">opportunities </w:t>
      </w:r>
      <w:r w:rsidR="00A56DE1">
        <w:rPr>
          <w:bCs/>
        </w:rPr>
        <w:t>for</w:t>
      </w:r>
      <w:r w:rsidR="00C75469">
        <w:rPr>
          <w:bCs/>
        </w:rPr>
        <w:t xml:space="preserve"> </w:t>
      </w:r>
      <w:r w:rsidR="007606D5">
        <w:rPr>
          <w:bCs/>
        </w:rPr>
        <w:t xml:space="preserve">how </w:t>
      </w:r>
      <w:r w:rsidR="00C75469">
        <w:rPr>
          <w:bCs/>
        </w:rPr>
        <w:t>new activity configurations</w:t>
      </w:r>
      <w:r w:rsidR="007606D5">
        <w:rPr>
          <w:bCs/>
        </w:rPr>
        <w:t xml:space="preserve">, new technologies </w:t>
      </w:r>
      <w:r w:rsidR="00C75469">
        <w:rPr>
          <w:bCs/>
        </w:rPr>
        <w:t xml:space="preserve">evolve. </w:t>
      </w:r>
      <w:r w:rsidR="00062B16">
        <w:rPr>
          <w:bCs/>
        </w:rPr>
        <w:t xml:space="preserve">And </w:t>
      </w:r>
      <w:r w:rsidR="00062B16">
        <w:t>m</w:t>
      </w:r>
      <w:r w:rsidR="000F2C27" w:rsidRPr="00F56232">
        <w:t xml:space="preserve">any </w:t>
      </w:r>
      <w:r w:rsidR="000F2C27">
        <w:t>organi</w:t>
      </w:r>
      <w:r w:rsidR="006F1E41">
        <w:t>s</w:t>
      </w:r>
      <w:r w:rsidR="000F2C27">
        <w:t xml:space="preserve">ations have </w:t>
      </w:r>
      <w:r w:rsidR="000F2C27" w:rsidRPr="00F56232">
        <w:t>respond</w:t>
      </w:r>
      <w:r w:rsidR="000F2C27">
        <w:t>ed</w:t>
      </w:r>
      <w:r w:rsidR="000F2C27" w:rsidRPr="00F56232">
        <w:t xml:space="preserve"> </w:t>
      </w:r>
      <w:r w:rsidR="000F2C27">
        <w:t xml:space="preserve">to </w:t>
      </w:r>
      <w:r w:rsidR="000F2C27" w:rsidRPr="00F56232">
        <w:t>the exogenous event</w:t>
      </w:r>
      <w:r w:rsidR="000F2C27">
        <w:t xml:space="preserve">s, their behaviour and capability </w:t>
      </w:r>
      <w:r w:rsidR="000F2C27" w:rsidRPr="00F56232">
        <w:t xml:space="preserve">routines are disaggregated and reintegrated in fitting into the changing conditions. </w:t>
      </w:r>
      <w:r w:rsidR="00062B16">
        <w:t>T</w:t>
      </w:r>
      <w:r w:rsidR="000F2C27">
        <w:t>he</w:t>
      </w:r>
      <w:r w:rsidR="001A4D84">
        <w:t xml:space="preserve">ir doing </w:t>
      </w:r>
      <w:r w:rsidR="000F2C27">
        <w:t>demonstrate</w:t>
      </w:r>
      <w:r w:rsidR="001A4D84">
        <w:t>s</w:t>
      </w:r>
      <w:r w:rsidR="000F2C27">
        <w:t xml:space="preserve"> </w:t>
      </w:r>
      <w:r w:rsidR="00C054AF">
        <w:t>the characteristics of dynamic capabilities</w:t>
      </w:r>
      <w:r w:rsidR="001A4D84">
        <w:t>, as we defined earlier</w:t>
      </w:r>
      <w:r w:rsidR="000F2C27">
        <w:t>.</w:t>
      </w:r>
      <w:r w:rsidR="001A4D84">
        <w:t xml:space="preserve"> </w:t>
      </w:r>
    </w:p>
    <w:p w14:paraId="183D667F" w14:textId="1ED04B25" w:rsidR="00D03DFF" w:rsidRPr="00393107" w:rsidRDefault="00B556EC" w:rsidP="00C5068A">
      <w:pPr>
        <w:spacing w:after="120" w:line="480" w:lineRule="auto"/>
        <w:ind w:firstLine="284"/>
        <w:jc w:val="both"/>
        <w:rPr>
          <w:color w:val="000000" w:themeColor="text1"/>
        </w:rPr>
      </w:pPr>
      <w:r>
        <w:t>T</w:t>
      </w:r>
      <w:r w:rsidR="009C1938">
        <w:t>he intriguing features</w:t>
      </w:r>
      <w:r>
        <w:t>, thus far,</w:t>
      </w:r>
      <w:r w:rsidR="009C1938">
        <w:t xml:space="preserve"> support our argument for </w:t>
      </w:r>
      <w:r w:rsidR="00FF0E21">
        <w:t xml:space="preserve">resilience </w:t>
      </w:r>
      <w:r w:rsidR="009C1938">
        <w:t>that is</w:t>
      </w:r>
      <w:r>
        <w:t>,</w:t>
      </w:r>
      <w:r w:rsidR="009C1938">
        <w:t xml:space="preserve"> many businesses </w:t>
      </w:r>
      <w:r w:rsidR="00E1473B">
        <w:t>can</w:t>
      </w:r>
      <w:r w:rsidR="00FF0E21">
        <w:t xml:space="preserve"> a</w:t>
      </w:r>
      <w:r w:rsidR="00FF0E21" w:rsidRPr="00F56232">
        <w:t>bsorb the impact by undergoing ‘resiliency’</w:t>
      </w:r>
      <w:r w:rsidR="00FF0E21">
        <w:t xml:space="preserve"> to be </w:t>
      </w:r>
      <w:r w:rsidR="00FF0E21" w:rsidRPr="00F56232">
        <w:t>demonstrated by organi</w:t>
      </w:r>
      <w:r w:rsidR="006F1E41">
        <w:t>s</w:t>
      </w:r>
      <w:r w:rsidR="00FF0E21" w:rsidRPr="00F56232">
        <w:t>ations</w:t>
      </w:r>
      <w:r w:rsidR="00FF0E21">
        <w:t>’</w:t>
      </w:r>
      <w:r w:rsidR="00FF0E21" w:rsidRPr="00F56232">
        <w:t xml:space="preserve"> evolutionary fitness</w:t>
      </w:r>
      <w:r w:rsidR="00FF0E21">
        <w:t>,</w:t>
      </w:r>
      <w:r w:rsidR="00FF0E21" w:rsidRPr="00F56232">
        <w:t xml:space="preserve"> adapting to the changes</w:t>
      </w:r>
      <w:r w:rsidR="006830F9">
        <w:t>,</w:t>
      </w:r>
      <w:r w:rsidR="00FF0E21" w:rsidRPr="00F56232">
        <w:t xml:space="preserve"> to induce replication</w:t>
      </w:r>
      <w:r w:rsidR="006830F9">
        <w:t xml:space="preserve"> or reproductive success </w:t>
      </w:r>
      <w:r w:rsidR="00FF0E21" w:rsidRPr="00F56232">
        <w:t xml:space="preserve">under changing </w:t>
      </w:r>
      <w:r w:rsidR="008A24E5">
        <w:t xml:space="preserve">environmental </w:t>
      </w:r>
      <w:r w:rsidR="00FF0E21" w:rsidRPr="00F56232">
        <w:t>conditions</w:t>
      </w:r>
      <w:r w:rsidR="008A24E5">
        <w:t>.</w:t>
      </w:r>
      <w:r w:rsidR="00FF0E21">
        <w:t xml:space="preserve"> </w:t>
      </w:r>
      <w:r w:rsidR="005618F1">
        <w:t>Where</w:t>
      </w:r>
      <w:r w:rsidR="00FF0E21">
        <w:t xml:space="preserve">in, dynamic capabilities </w:t>
      </w:r>
      <w:r w:rsidR="00FF0E21" w:rsidRPr="00F56232">
        <w:t xml:space="preserve">deal with </w:t>
      </w:r>
      <w:r w:rsidR="00FF0E21">
        <w:t xml:space="preserve">the paradox caused by </w:t>
      </w:r>
      <w:r w:rsidR="00FF0E21" w:rsidRPr="00F56232">
        <w:t xml:space="preserve">the </w:t>
      </w:r>
      <w:r w:rsidR="005209A6">
        <w:t>P</w:t>
      </w:r>
      <w:r w:rsidR="005209A6" w:rsidRPr="00F56232">
        <w:t>andemic</w:t>
      </w:r>
      <w:r w:rsidR="005209A6">
        <w:t xml:space="preserve"> </w:t>
      </w:r>
      <w:r w:rsidR="00FF0E21">
        <w:t xml:space="preserve">such as the </w:t>
      </w:r>
      <w:r w:rsidR="00817E2A">
        <w:t xml:space="preserve">lockdown </w:t>
      </w:r>
      <w:r w:rsidR="00FF0E21">
        <w:t>constraints, as well as opportunities</w:t>
      </w:r>
      <w:r w:rsidR="00057905">
        <w:t>.</w:t>
      </w:r>
      <w:r w:rsidR="00B83B3E">
        <w:t xml:space="preserve"> </w:t>
      </w:r>
      <w:r>
        <w:t xml:space="preserve">However, </w:t>
      </w:r>
      <w:r w:rsidR="00FF0E21">
        <w:t xml:space="preserve">critical issues </w:t>
      </w:r>
      <w:r w:rsidR="00127A47">
        <w:t>remain challenging</w:t>
      </w:r>
      <w:r w:rsidR="00025975">
        <w:t>. F</w:t>
      </w:r>
      <w:r w:rsidR="00FF0E21">
        <w:t xml:space="preserve">irst, </w:t>
      </w:r>
      <w:r w:rsidR="008A24E5">
        <w:t xml:space="preserve">there is little </w:t>
      </w:r>
      <w:r w:rsidR="00FF0E21" w:rsidRPr="00FD2CA7">
        <w:t>evidence</w:t>
      </w:r>
      <w:r w:rsidR="00FF0E21">
        <w:t xml:space="preserve"> </w:t>
      </w:r>
      <w:r w:rsidR="008A24E5">
        <w:t xml:space="preserve">to </w:t>
      </w:r>
      <w:r w:rsidR="00FF0E21">
        <w:t xml:space="preserve">suggest </w:t>
      </w:r>
      <w:r w:rsidR="008A24E5">
        <w:t xml:space="preserve">that </w:t>
      </w:r>
      <w:r w:rsidR="00FF0E21" w:rsidRPr="00FD2CA7">
        <w:t xml:space="preserve">dynamic capabilities </w:t>
      </w:r>
      <w:r w:rsidR="00FF0E21">
        <w:t xml:space="preserve">can be </w:t>
      </w:r>
      <w:r w:rsidR="00FF0E21" w:rsidRPr="00FD2CA7">
        <w:t>sustainable over extended periods</w:t>
      </w:r>
      <w:r w:rsidR="00D83414">
        <w:t>,</w:t>
      </w:r>
      <w:r w:rsidR="00FF0E21" w:rsidRPr="00FD2CA7">
        <w:t xml:space="preserve"> in different </w:t>
      </w:r>
      <w:r w:rsidR="00FF0E21" w:rsidRPr="000F2C27">
        <w:t xml:space="preserve">contexts. </w:t>
      </w:r>
      <w:r w:rsidR="008A24E5">
        <w:t>In s</w:t>
      </w:r>
      <w:r w:rsidR="00FF0E21" w:rsidRPr="000F2C27">
        <w:t>uch situations</w:t>
      </w:r>
      <w:r w:rsidR="00C448FC">
        <w:t>,</w:t>
      </w:r>
      <w:r w:rsidR="00FF0E21" w:rsidRPr="000F2C27">
        <w:t xml:space="preserve"> organi</w:t>
      </w:r>
      <w:r w:rsidR="006F1E41">
        <w:t>s</w:t>
      </w:r>
      <w:r w:rsidR="00FF0E21" w:rsidRPr="000F2C27">
        <w:t xml:space="preserve">ations </w:t>
      </w:r>
      <w:r w:rsidR="00123B9C">
        <w:t xml:space="preserve">should </w:t>
      </w:r>
      <w:r w:rsidR="00FF0E21" w:rsidRPr="000F2C27">
        <w:t xml:space="preserve">remain </w:t>
      </w:r>
      <w:r w:rsidR="006413C5" w:rsidRPr="000F2C27">
        <w:t>resilien</w:t>
      </w:r>
      <w:r w:rsidR="006413C5">
        <w:t>t,</w:t>
      </w:r>
      <w:r w:rsidR="00FF0E21" w:rsidRPr="000F2C27">
        <w:t xml:space="preserve"> </w:t>
      </w:r>
      <w:r w:rsidR="00123B9C">
        <w:t>but some have</w:t>
      </w:r>
      <w:r w:rsidR="00123B9C" w:rsidRPr="000F2C27">
        <w:t xml:space="preserve"> </w:t>
      </w:r>
      <w:r w:rsidR="00FF0E21" w:rsidRPr="000F2C27">
        <w:t xml:space="preserve">become exhausted </w:t>
      </w:r>
      <w:r w:rsidR="008A24E5">
        <w:t>from</w:t>
      </w:r>
      <w:r w:rsidR="00FF0E21" w:rsidRPr="000F2C27">
        <w:t xml:space="preserve"> continuous transformation (</w:t>
      </w:r>
      <w:proofErr w:type="spellStart"/>
      <w:r w:rsidR="00FF0E21" w:rsidRPr="000F2C27">
        <w:t>D’Aveni</w:t>
      </w:r>
      <w:proofErr w:type="spellEnd"/>
      <w:r w:rsidR="00FF0E21" w:rsidRPr="000F2C27">
        <w:t xml:space="preserve">, </w:t>
      </w:r>
      <w:proofErr w:type="spellStart"/>
      <w:r w:rsidR="00FF0E21" w:rsidRPr="000F2C27">
        <w:t>Dagnino</w:t>
      </w:r>
      <w:proofErr w:type="spellEnd"/>
      <w:r w:rsidR="00FF0E21" w:rsidRPr="000F2C27">
        <w:t xml:space="preserve">, Smith and Zajac, 2008). </w:t>
      </w:r>
      <w:r w:rsidR="000A7B65">
        <w:t>For instance,</w:t>
      </w:r>
      <w:r w:rsidR="00C5068A">
        <w:t xml:space="preserve"> </w:t>
      </w:r>
      <w:r w:rsidR="008A24E5">
        <w:rPr>
          <w:bCs/>
        </w:rPr>
        <w:t>government</w:t>
      </w:r>
      <w:r w:rsidR="00C5068A">
        <w:rPr>
          <w:bCs/>
        </w:rPr>
        <w:t xml:space="preserve"> option</w:t>
      </w:r>
      <w:r w:rsidR="008A24E5">
        <w:rPr>
          <w:bCs/>
        </w:rPr>
        <w:t xml:space="preserve">s </w:t>
      </w:r>
      <w:r w:rsidR="000A7B65">
        <w:rPr>
          <w:bCs/>
        </w:rPr>
        <w:t>of</w:t>
      </w:r>
      <w:r w:rsidR="008A24E5">
        <w:rPr>
          <w:bCs/>
        </w:rPr>
        <w:t xml:space="preserve"> ‘</w:t>
      </w:r>
      <w:r w:rsidR="000A7B65">
        <w:rPr>
          <w:bCs/>
        </w:rPr>
        <w:t>lockdown</w:t>
      </w:r>
      <w:r w:rsidR="008A24E5">
        <w:rPr>
          <w:bCs/>
        </w:rPr>
        <w:t xml:space="preserve">’ and circuit breakers reduced the value of many corporate options through lost production while increasing option values for corporates that could move their business online. </w:t>
      </w:r>
      <w:r w:rsidR="008A24E5">
        <w:rPr>
          <w:bCs/>
        </w:rPr>
        <w:lastRenderedPageBreak/>
        <w:t xml:space="preserve">More widely, reduced production, lower profits, lower employment, reduced wages, and concomitant social problems and health disorders created widespread disruptions across large swathes of societies, though there were gains for several sectors. </w:t>
      </w:r>
      <w:r w:rsidR="00D83414">
        <w:t>Critically, t</w:t>
      </w:r>
      <w:r w:rsidR="00025975" w:rsidRPr="000F2C27">
        <w:t xml:space="preserve">his </w:t>
      </w:r>
      <w:r w:rsidR="00025975">
        <w:t>leads to</w:t>
      </w:r>
      <w:r w:rsidR="00025975" w:rsidRPr="000F2C27">
        <w:t xml:space="preserve"> </w:t>
      </w:r>
      <w:r w:rsidR="00AA0F31">
        <w:t>our</w:t>
      </w:r>
      <w:r w:rsidR="00025975" w:rsidRPr="000F2C27">
        <w:t xml:space="preserve"> second</w:t>
      </w:r>
      <w:r w:rsidR="00025975">
        <w:t xml:space="preserve"> </w:t>
      </w:r>
      <w:r w:rsidR="00127A47">
        <w:t xml:space="preserve">critical </w:t>
      </w:r>
      <w:r w:rsidR="00AA0F31">
        <w:t>point</w:t>
      </w:r>
      <w:r w:rsidR="00623142">
        <w:t>.</w:t>
      </w:r>
      <w:r w:rsidR="00025975" w:rsidRPr="000F2C27">
        <w:t xml:space="preserve"> </w:t>
      </w:r>
      <w:r w:rsidR="00623142">
        <w:t>D</w:t>
      </w:r>
      <w:r w:rsidR="00025975" w:rsidRPr="000F2C27">
        <w:t xml:space="preserve">uring the </w:t>
      </w:r>
      <w:r w:rsidR="005209A6">
        <w:t>Pandemic</w:t>
      </w:r>
      <w:r w:rsidR="00025975" w:rsidRPr="000F2C27">
        <w:t xml:space="preserve">, </w:t>
      </w:r>
      <w:r w:rsidR="00817E2A">
        <w:t xml:space="preserve">it appeared that </w:t>
      </w:r>
      <w:r w:rsidR="00F46D35" w:rsidRPr="000F2C27">
        <w:t>government sector</w:t>
      </w:r>
      <w:r w:rsidR="00B83B3E">
        <w:t>s</w:t>
      </w:r>
      <w:r w:rsidR="00F46D35">
        <w:rPr>
          <w:bCs/>
        </w:rPr>
        <w:t xml:space="preserve"> </w:t>
      </w:r>
      <w:r w:rsidR="00025975" w:rsidRPr="000F2C27">
        <w:rPr>
          <w:bCs/>
        </w:rPr>
        <w:t>ha</w:t>
      </w:r>
      <w:r w:rsidR="00817E2A">
        <w:rPr>
          <w:bCs/>
        </w:rPr>
        <w:t>d</w:t>
      </w:r>
      <w:r w:rsidR="00025975" w:rsidRPr="000F2C27">
        <w:rPr>
          <w:bCs/>
        </w:rPr>
        <w:t xml:space="preserve"> more options</w:t>
      </w:r>
      <w:r w:rsidR="0072623D">
        <w:rPr>
          <w:bCs/>
        </w:rPr>
        <w:t xml:space="preserve"> </w:t>
      </w:r>
      <w:r w:rsidR="00781570">
        <w:rPr>
          <w:bCs/>
        </w:rPr>
        <w:t>that were</w:t>
      </w:r>
      <w:r w:rsidR="0072623D">
        <w:rPr>
          <w:bCs/>
        </w:rPr>
        <w:t xml:space="preserve"> </w:t>
      </w:r>
      <w:r w:rsidR="00781570">
        <w:rPr>
          <w:bCs/>
        </w:rPr>
        <w:t>‘</w:t>
      </w:r>
      <w:r w:rsidR="0072623D">
        <w:rPr>
          <w:bCs/>
        </w:rPr>
        <w:t>hardware</w:t>
      </w:r>
      <w:r w:rsidR="00781570">
        <w:rPr>
          <w:bCs/>
        </w:rPr>
        <w:t>’</w:t>
      </w:r>
      <w:r w:rsidR="008A24E5">
        <w:rPr>
          <w:bCs/>
        </w:rPr>
        <w:t xml:space="preserve"> while the</w:t>
      </w:r>
      <w:r w:rsidR="00524E24">
        <w:rPr>
          <w:bCs/>
        </w:rPr>
        <w:t xml:space="preserve"> </w:t>
      </w:r>
      <w:r w:rsidR="00025975" w:rsidRPr="000F2C27">
        <w:rPr>
          <w:bCs/>
        </w:rPr>
        <w:t>corporate sector</w:t>
      </w:r>
      <w:r w:rsidR="00F46D35">
        <w:rPr>
          <w:bCs/>
        </w:rPr>
        <w:t xml:space="preserve"> </w:t>
      </w:r>
      <w:r w:rsidR="00025975" w:rsidRPr="000F2C27">
        <w:rPr>
          <w:bCs/>
        </w:rPr>
        <w:t>ha</w:t>
      </w:r>
      <w:r w:rsidR="00817E2A">
        <w:rPr>
          <w:bCs/>
        </w:rPr>
        <w:t>d</w:t>
      </w:r>
      <w:r w:rsidR="00F46D35">
        <w:rPr>
          <w:bCs/>
        </w:rPr>
        <w:t xml:space="preserve"> few</w:t>
      </w:r>
      <w:r w:rsidR="00E851B2">
        <w:rPr>
          <w:bCs/>
        </w:rPr>
        <w:t>er</w:t>
      </w:r>
      <w:r w:rsidR="00025975" w:rsidRPr="000F2C27">
        <w:rPr>
          <w:bCs/>
        </w:rPr>
        <w:t xml:space="preserve"> options</w:t>
      </w:r>
      <w:r w:rsidR="00E851B2">
        <w:rPr>
          <w:bCs/>
        </w:rPr>
        <w:t xml:space="preserve"> and </w:t>
      </w:r>
      <w:r w:rsidR="00781570">
        <w:rPr>
          <w:bCs/>
        </w:rPr>
        <w:t>were</w:t>
      </w:r>
      <w:r w:rsidR="00025975" w:rsidRPr="000F2C27">
        <w:rPr>
          <w:bCs/>
        </w:rPr>
        <w:t xml:space="preserve"> </w:t>
      </w:r>
      <w:r w:rsidR="00F46D35">
        <w:rPr>
          <w:bCs/>
        </w:rPr>
        <w:t xml:space="preserve">often </w:t>
      </w:r>
      <w:r w:rsidR="00E851B2">
        <w:rPr>
          <w:bCs/>
        </w:rPr>
        <w:t xml:space="preserve">trapped in </w:t>
      </w:r>
      <w:r w:rsidR="00296CAC">
        <w:rPr>
          <w:bCs/>
        </w:rPr>
        <w:t xml:space="preserve">the </w:t>
      </w:r>
      <w:r w:rsidR="00E851B2">
        <w:rPr>
          <w:bCs/>
        </w:rPr>
        <w:t xml:space="preserve">reactive </w:t>
      </w:r>
      <w:r w:rsidR="00296CAC">
        <w:rPr>
          <w:bCs/>
        </w:rPr>
        <w:t xml:space="preserve">‘software’ </w:t>
      </w:r>
      <w:r w:rsidR="00E851B2">
        <w:rPr>
          <w:bCs/>
        </w:rPr>
        <w:t xml:space="preserve">or </w:t>
      </w:r>
      <w:r w:rsidR="00025975" w:rsidRPr="000F2C27">
        <w:rPr>
          <w:bCs/>
        </w:rPr>
        <w:t xml:space="preserve">passive </w:t>
      </w:r>
      <w:r w:rsidR="00E851B2">
        <w:rPr>
          <w:bCs/>
        </w:rPr>
        <w:t>cycle</w:t>
      </w:r>
      <w:r w:rsidR="00025975" w:rsidRPr="000F2C27">
        <w:rPr>
          <w:bCs/>
        </w:rPr>
        <w:t xml:space="preserve">. </w:t>
      </w:r>
      <w:r w:rsidR="009F32AE">
        <w:rPr>
          <w:bCs/>
        </w:rPr>
        <w:t>The point raised is d</w:t>
      </w:r>
      <w:r w:rsidR="00E851B2">
        <w:rPr>
          <w:bCs/>
        </w:rPr>
        <w:t xml:space="preserve">ecision making in </w:t>
      </w:r>
      <w:r w:rsidR="00524E24">
        <w:t>both sectors</w:t>
      </w:r>
      <w:r w:rsidR="00817E2A">
        <w:t xml:space="preserve"> </w:t>
      </w:r>
      <w:r w:rsidR="00E851B2">
        <w:t>subject</w:t>
      </w:r>
      <w:r w:rsidR="00296CAC">
        <w:t>s</w:t>
      </w:r>
      <w:r w:rsidR="00E851B2">
        <w:t xml:space="preserve"> to substantial </w:t>
      </w:r>
      <w:r w:rsidR="00F46D35" w:rsidRPr="00FD2CA7">
        <w:t>uncertainty and risk contingency</w:t>
      </w:r>
      <w:r w:rsidR="001A4D84">
        <w:t>.</w:t>
      </w:r>
      <w:r w:rsidR="00F46D35">
        <w:rPr>
          <w:color w:val="000000" w:themeColor="text1"/>
        </w:rPr>
        <w:t xml:space="preserve"> </w:t>
      </w:r>
      <w:r w:rsidR="009F32AE">
        <w:rPr>
          <w:color w:val="000000" w:themeColor="text1"/>
        </w:rPr>
        <w:t xml:space="preserve">Thus, </w:t>
      </w:r>
      <w:r w:rsidR="00D62585">
        <w:t>w</w:t>
      </w:r>
      <w:r w:rsidR="00FF0E21" w:rsidRPr="00FD2CA7">
        <w:t>e</w:t>
      </w:r>
      <w:r w:rsidR="00FF0E21">
        <w:t xml:space="preserve"> </w:t>
      </w:r>
      <w:r w:rsidR="00D62585">
        <w:t xml:space="preserve">contribute to </w:t>
      </w:r>
      <w:r w:rsidR="00FF0E21" w:rsidRPr="00FD2CA7">
        <w:t>open</w:t>
      </w:r>
      <w:r w:rsidR="008F50C0">
        <w:t>ing</w:t>
      </w:r>
      <w:r w:rsidR="00FF0E21" w:rsidRPr="00FD2CA7">
        <w:t xml:space="preserve"> the </w:t>
      </w:r>
      <w:r w:rsidR="00FF0E21">
        <w:t>“</w:t>
      </w:r>
      <w:r w:rsidR="00FF0E21" w:rsidRPr="00FD2CA7">
        <w:t>black box</w:t>
      </w:r>
      <w:r w:rsidR="00FF0E21">
        <w:t>”</w:t>
      </w:r>
      <w:r w:rsidR="00FF0E21" w:rsidRPr="00FD2CA7">
        <w:t xml:space="preserve"> (</w:t>
      </w:r>
      <w:proofErr w:type="spellStart"/>
      <w:r w:rsidR="00FF0E21" w:rsidRPr="00FD2CA7">
        <w:t>Lewins</w:t>
      </w:r>
      <w:proofErr w:type="spellEnd"/>
      <w:r w:rsidR="00FF0E21" w:rsidRPr="00FD2CA7">
        <w:t>, 2008</w:t>
      </w:r>
      <w:r w:rsidR="00FF0E21">
        <w:t>;</w:t>
      </w:r>
      <w:r w:rsidR="00FF0E21" w:rsidRPr="0047581C">
        <w:t xml:space="preserve"> </w:t>
      </w:r>
      <w:proofErr w:type="spellStart"/>
      <w:r w:rsidR="00FF0E21" w:rsidRPr="00FD2CA7">
        <w:t>Zollo</w:t>
      </w:r>
      <w:proofErr w:type="spellEnd"/>
      <w:r w:rsidR="00FF0E21" w:rsidRPr="00FD2CA7">
        <w:t xml:space="preserve"> </w:t>
      </w:r>
      <w:r w:rsidR="00FF0E21">
        <w:t>and</w:t>
      </w:r>
      <w:r w:rsidR="00FF0E21" w:rsidRPr="00FD2CA7">
        <w:t xml:space="preserve"> Winter, 2002)</w:t>
      </w:r>
      <w:r w:rsidR="00FF0E21">
        <w:t xml:space="preserve"> </w:t>
      </w:r>
      <w:r w:rsidR="00FF0E21" w:rsidRPr="00FD2CA7">
        <w:t>of organisational capabilities</w:t>
      </w:r>
      <w:r w:rsidR="00FF0E21">
        <w:t>.</w:t>
      </w:r>
    </w:p>
    <w:p w14:paraId="2D4BFF11" w14:textId="1AA54F79" w:rsidR="005D3818" w:rsidRPr="00BF60DE" w:rsidRDefault="000C6169" w:rsidP="00AE6602">
      <w:pPr>
        <w:spacing w:after="120" w:line="480" w:lineRule="auto"/>
        <w:rPr>
          <w:bCs/>
          <w:i/>
          <w:iCs/>
        </w:rPr>
      </w:pPr>
      <w:bookmarkStart w:id="0" w:name="_Hlk88727859"/>
      <w:r w:rsidRPr="00BF60DE">
        <w:rPr>
          <w:bCs/>
          <w:i/>
          <w:iCs/>
        </w:rPr>
        <w:t>Overview of t</w:t>
      </w:r>
      <w:r w:rsidR="001559AE" w:rsidRPr="00BF60DE">
        <w:rPr>
          <w:bCs/>
          <w:i/>
          <w:iCs/>
        </w:rPr>
        <w:t xml:space="preserve">he </w:t>
      </w:r>
      <w:r w:rsidR="003A274B" w:rsidRPr="00BF60DE">
        <w:rPr>
          <w:bCs/>
          <w:i/>
          <w:iCs/>
        </w:rPr>
        <w:t>R</w:t>
      </w:r>
      <w:r w:rsidR="005D3818" w:rsidRPr="00BF60DE">
        <w:rPr>
          <w:bCs/>
          <w:i/>
          <w:iCs/>
        </w:rPr>
        <w:t xml:space="preserve">eal </w:t>
      </w:r>
      <w:r w:rsidR="0025008A" w:rsidRPr="00BF60DE">
        <w:rPr>
          <w:bCs/>
          <w:i/>
          <w:iCs/>
        </w:rPr>
        <w:t>O</w:t>
      </w:r>
      <w:r w:rsidR="005D3818" w:rsidRPr="00BF60DE">
        <w:rPr>
          <w:bCs/>
          <w:i/>
          <w:iCs/>
        </w:rPr>
        <w:t>ption</w:t>
      </w:r>
      <w:r w:rsidR="00B8044A" w:rsidRPr="00BF60DE">
        <w:rPr>
          <w:bCs/>
          <w:i/>
          <w:iCs/>
        </w:rPr>
        <w:t>s</w:t>
      </w:r>
      <w:r w:rsidR="00A96524" w:rsidRPr="00BF60DE">
        <w:rPr>
          <w:bCs/>
          <w:i/>
          <w:iCs/>
        </w:rPr>
        <w:t xml:space="preserve"> </w:t>
      </w:r>
      <w:r w:rsidR="000A7B65" w:rsidRPr="00BF60DE">
        <w:rPr>
          <w:bCs/>
          <w:i/>
          <w:iCs/>
        </w:rPr>
        <w:t>Approach (ROA)</w:t>
      </w:r>
    </w:p>
    <w:p w14:paraId="190F4200" w14:textId="302E8468" w:rsidR="008F2837" w:rsidRDefault="00EE7AFE" w:rsidP="000669BA">
      <w:pPr>
        <w:spacing w:before="120" w:line="480" w:lineRule="auto"/>
        <w:jc w:val="both"/>
      </w:pPr>
      <w:r>
        <w:rPr>
          <w:bCs/>
        </w:rPr>
        <w:t xml:space="preserve">We begin </w:t>
      </w:r>
      <w:r w:rsidR="00E851B2">
        <w:rPr>
          <w:bCs/>
        </w:rPr>
        <w:t xml:space="preserve">by </w:t>
      </w:r>
      <w:r w:rsidR="006413C5">
        <w:rPr>
          <w:bCs/>
        </w:rPr>
        <w:t>considering the</w:t>
      </w:r>
      <w:r w:rsidR="00123B9C">
        <w:rPr>
          <w:bCs/>
        </w:rPr>
        <w:t xml:space="preserve"> third </w:t>
      </w:r>
      <w:r w:rsidR="002D312D" w:rsidRPr="005D3818">
        <w:rPr>
          <w:bCs/>
        </w:rPr>
        <w:t>source of uncertainty</w:t>
      </w:r>
      <w:r w:rsidR="002D312D">
        <w:rPr>
          <w:bCs/>
        </w:rPr>
        <w:t xml:space="preserve"> </w:t>
      </w:r>
      <w:r>
        <w:rPr>
          <w:bCs/>
        </w:rPr>
        <w:t xml:space="preserve">during the </w:t>
      </w:r>
      <w:r w:rsidR="005209A6">
        <w:rPr>
          <w:bCs/>
        </w:rPr>
        <w:t>Pandemic</w:t>
      </w:r>
      <w:r w:rsidR="00123B9C">
        <w:rPr>
          <w:bCs/>
        </w:rPr>
        <w:t xml:space="preserve"> in addition to the </w:t>
      </w:r>
      <w:r w:rsidR="008A349E">
        <w:rPr>
          <w:bCs/>
        </w:rPr>
        <w:t xml:space="preserve">first, </w:t>
      </w:r>
      <w:r w:rsidR="00123B9C">
        <w:rPr>
          <w:bCs/>
        </w:rPr>
        <w:t>external (</w:t>
      </w:r>
      <w:r w:rsidR="006413C5">
        <w:rPr>
          <w:bCs/>
        </w:rPr>
        <w:t>i.e.,</w:t>
      </w:r>
      <w:r w:rsidR="008A349E">
        <w:rPr>
          <w:bCs/>
        </w:rPr>
        <w:t xml:space="preserve"> </w:t>
      </w:r>
      <w:r w:rsidR="00123B9C">
        <w:rPr>
          <w:bCs/>
        </w:rPr>
        <w:t xml:space="preserve">virus) and </w:t>
      </w:r>
      <w:r w:rsidR="008A349E">
        <w:rPr>
          <w:bCs/>
        </w:rPr>
        <w:t xml:space="preserve">the second, </w:t>
      </w:r>
      <w:r w:rsidR="00123B9C">
        <w:rPr>
          <w:bCs/>
        </w:rPr>
        <w:t>internal (</w:t>
      </w:r>
      <w:proofErr w:type="spellStart"/>
      <w:proofErr w:type="gramStart"/>
      <w:r w:rsidR="006413C5">
        <w:rPr>
          <w:bCs/>
        </w:rPr>
        <w:t>i.e.,</w:t>
      </w:r>
      <w:r w:rsidR="00073251">
        <w:rPr>
          <w:bCs/>
        </w:rPr>
        <w:t>s</w:t>
      </w:r>
      <w:proofErr w:type="spellEnd"/>
      <w:proofErr w:type="gramEnd"/>
      <w:r w:rsidR="008A349E">
        <w:rPr>
          <w:bCs/>
        </w:rPr>
        <w:t xml:space="preserve"> </w:t>
      </w:r>
      <w:r w:rsidR="00123B9C">
        <w:rPr>
          <w:bCs/>
        </w:rPr>
        <w:t xml:space="preserve">business </w:t>
      </w:r>
      <w:proofErr w:type="spellStart"/>
      <w:r w:rsidR="008A349E">
        <w:rPr>
          <w:bCs/>
        </w:rPr>
        <w:t>undertainty</w:t>
      </w:r>
      <w:proofErr w:type="spellEnd"/>
      <w:r w:rsidR="00123B9C">
        <w:rPr>
          <w:bCs/>
        </w:rPr>
        <w:t>)</w:t>
      </w:r>
      <w:r w:rsidR="00DB6F26">
        <w:rPr>
          <w:bCs/>
        </w:rPr>
        <w:t>.</w:t>
      </w:r>
      <w:r w:rsidR="005435FF">
        <w:rPr>
          <w:bCs/>
        </w:rPr>
        <w:t xml:space="preserve"> </w:t>
      </w:r>
      <w:proofErr w:type="spellStart"/>
      <w:r w:rsidR="005435FF">
        <w:rPr>
          <w:bCs/>
        </w:rPr>
        <w:t>Chakhovich</w:t>
      </w:r>
      <w:proofErr w:type="spellEnd"/>
      <w:r w:rsidR="005435FF">
        <w:rPr>
          <w:bCs/>
        </w:rPr>
        <w:t xml:space="preserve"> and </w:t>
      </w:r>
      <w:proofErr w:type="spellStart"/>
      <w:r w:rsidR="005435FF">
        <w:rPr>
          <w:bCs/>
        </w:rPr>
        <w:t>Marttila</w:t>
      </w:r>
      <w:proofErr w:type="spellEnd"/>
      <w:r w:rsidR="005435FF">
        <w:rPr>
          <w:bCs/>
        </w:rPr>
        <w:t xml:space="preserve"> (2020) identified the emergence of a plethora of conflicting research findings from variant research centres across several countries and</w:t>
      </w:r>
      <w:r w:rsidR="00DB6F26" w:rsidRPr="00336824">
        <w:rPr>
          <w:bCs/>
        </w:rPr>
        <w:t xml:space="preserve"> </w:t>
      </w:r>
      <w:r w:rsidR="00DB6F26">
        <w:rPr>
          <w:bCs/>
        </w:rPr>
        <w:t>the diversity among</w:t>
      </w:r>
      <w:r w:rsidR="00DB6F26" w:rsidRPr="005D3818">
        <w:rPr>
          <w:bCs/>
        </w:rPr>
        <w:t xml:space="preserve"> expert opinion</w:t>
      </w:r>
      <w:r w:rsidR="00DB6F26">
        <w:rPr>
          <w:bCs/>
        </w:rPr>
        <w:t>s</w:t>
      </w:r>
      <w:r>
        <w:rPr>
          <w:bCs/>
        </w:rPr>
        <w:t xml:space="preserve">. </w:t>
      </w:r>
      <w:r w:rsidR="008F2837">
        <w:rPr>
          <w:bCs/>
        </w:rPr>
        <w:t xml:space="preserve">We consider the </w:t>
      </w:r>
      <w:r w:rsidR="008A349E">
        <w:rPr>
          <w:bCs/>
        </w:rPr>
        <w:t xml:space="preserve">critical </w:t>
      </w:r>
      <w:r w:rsidR="008F2837">
        <w:rPr>
          <w:bCs/>
        </w:rPr>
        <w:t>c</w:t>
      </w:r>
      <w:r w:rsidRPr="005D3818">
        <w:rPr>
          <w:bCs/>
        </w:rPr>
        <w:t>onsequen</w:t>
      </w:r>
      <w:r w:rsidR="008F2837">
        <w:rPr>
          <w:bCs/>
        </w:rPr>
        <w:t>ce</w:t>
      </w:r>
      <w:r w:rsidR="00923B7B">
        <w:rPr>
          <w:bCs/>
        </w:rPr>
        <w:t>,</w:t>
      </w:r>
      <w:r w:rsidR="008F2837">
        <w:rPr>
          <w:bCs/>
        </w:rPr>
        <w:t xml:space="preserve"> such as </w:t>
      </w:r>
      <w:r w:rsidRPr="005D3818">
        <w:rPr>
          <w:bCs/>
        </w:rPr>
        <w:t xml:space="preserve">the paucity of information, </w:t>
      </w:r>
      <w:r w:rsidR="008F2837">
        <w:rPr>
          <w:bCs/>
        </w:rPr>
        <w:t xml:space="preserve">and how </w:t>
      </w:r>
      <w:r w:rsidRPr="005D3818">
        <w:rPr>
          <w:bCs/>
        </w:rPr>
        <w:t xml:space="preserve">governments </w:t>
      </w:r>
      <w:r w:rsidR="00923B7B">
        <w:rPr>
          <w:bCs/>
        </w:rPr>
        <w:t>worldwide</w:t>
      </w:r>
      <w:r w:rsidRPr="005D3818">
        <w:rPr>
          <w:bCs/>
        </w:rPr>
        <w:t xml:space="preserve"> introduced lockdowns and various circuit breakers</w:t>
      </w:r>
      <w:r w:rsidR="008F2837">
        <w:rPr>
          <w:bCs/>
        </w:rPr>
        <w:t>. Although the above</w:t>
      </w:r>
      <w:r w:rsidRPr="005D3818">
        <w:rPr>
          <w:bCs/>
        </w:rPr>
        <w:t xml:space="preserve"> </w:t>
      </w:r>
      <w:r w:rsidR="000B061F">
        <w:rPr>
          <w:bCs/>
        </w:rPr>
        <w:t xml:space="preserve">option </w:t>
      </w:r>
      <w:r w:rsidRPr="005D3818">
        <w:rPr>
          <w:bCs/>
        </w:rPr>
        <w:t>help</w:t>
      </w:r>
      <w:r w:rsidR="008F2837">
        <w:rPr>
          <w:bCs/>
        </w:rPr>
        <w:t>s</w:t>
      </w:r>
      <w:r w:rsidRPr="005D3818">
        <w:rPr>
          <w:bCs/>
        </w:rPr>
        <w:t xml:space="preserve"> </w:t>
      </w:r>
      <w:r w:rsidR="008F2837">
        <w:rPr>
          <w:bCs/>
        </w:rPr>
        <w:t xml:space="preserve">with </w:t>
      </w:r>
      <w:r w:rsidR="001559AE">
        <w:rPr>
          <w:bCs/>
        </w:rPr>
        <w:t>halt</w:t>
      </w:r>
      <w:r w:rsidR="008F2837">
        <w:rPr>
          <w:bCs/>
        </w:rPr>
        <w:t>ing</w:t>
      </w:r>
      <w:r w:rsidRPr="005D3818">
        <w:rPr>
          <w:bCs/>
        </w:rPr>
        <w:t xml:space="preserve"> the spread of the virus</w:t>
      </w:r>
      <w:r w:rsidR="008F2837">
        <w:rPr>
          <w:bCs/>
        </w:rPr>
        <w:t>,</w:t>
      </w:r>
      <w:r w:rsidRPr="005D3818">
        <w:rPr>
          <w:bCs/>
        </w:rPr>
        <w:t xml:space="preserve"> buying time to explore more scientifically grounded alternatives</w:t>
      </w:r>
      <w:r w:rsidR="008F2837">
        <w:rPr>
          <w:bCs/>
        </w:rPr>
        <w:t xml:space="preserve">, such decisions under the condition of a lack of information also confront crucial risks and uncertainty, affecting business investment contingency, at least, for a certain </w:t>
      </w:r>
      <w:r w:rsidR="008A349E">
        <w:rPr>
          <w:bCs/>
        </w:rPr>
        <w:t>period</w:t>
      </w:r>
      <w:r w:rsidRPr="005D3818">
        <w:rPr>
          <w:bCs/>
        </w:rPr>
        <w:t>.</w:t>
      </w:r>
      <w:r>
        <w:rPr>
          <w:bCs/>
        </w:rPr>
        <w:t xml:space="preserve"> </w:t>
      </w:r>
      <w:r w:rsidR="00617C31">
        <w:rPr>
          <w:bCs/>
        </w:rPr>
        <w:t xml:space="preserve">From </w:t>
      </w:r>
      <w:r w:rsidR="006B62C8">
        <w:rPr>
          <w:bCs/>
        </w:rPr>
        <w:t xml:space="preserve">the </w:t>
      </w:r>
      <w:r w:rsidR="00617C31">
        <w:rPr>
          <w:bCs/>
        </w:rPr>
        <w:t>real option</w:t>
      </w:r>
      <w:r w:rsidR="006B62C8">
        <w:rPr>
          <w:bCs/>
        </w:rPr>
        <w:t>s</w:t>
      </w:r>
      <w:r w:rsidR="00617C31">
        <w:rPr>
          <w:bCs/>
        </w:rPr>
        <w:t xml:space="preserve"> perspective, </w:t>
      </w:r>
      <w:proofErr w:type="spellStart"/>
      <w:r w:rsidR="00617C31" w:rsidRPr="00732E3C">
        <w:rPr>
          <w:bCs/>
          <w:iCs/>
          <w:color w:val="000000" w:themeColor="text1"/>
        </w:rPr>
        <w:t>Friedl</w:t>
      </w:r>
      <w:proofErr w:type="spellEnd"/>
      <w:r w:rsidR="00617C31" w:rsidRPr="00732E3C">
        <w:rPr>
          <w:bCs/>
          <w:iCs/>
          <w:color w:val="000000" w:themeColor="text1"/>
        </w:rPr>
        <w:t xml:space="preserve"> (2002) suggest</w:t>
      </w:r>
      <w:r w:rsidR="00617C31">
        <w:rPr>
          <w:bCs/>
          <w:iCs/>
          <w:color w:val="000000" w:themeColor="text1"/>
        </w:rPr>
        <w:t>ed</w:t>
      </w:r>
      <w:r w:rsidR="00617C31" w:rsidRPr="00732E3C">
        <w:rPr>
          <w:bCs/>
          <w:iCs/>
          <w:color w:val="000000" w:themeColor="text1"/>
        </w:rPr>
        <w:t xml:space="preserve"> putting more weight on </w:t>
      </w:r>
      <w:r w:rsidR="00E851B2">
        <w:rPr>
          <w:bCs/>
          <w:iCs/>
          <w:color w:val="000000" w:themeColor="text1"/>
        </w:rPr>
        <w:t xml:space="preserve">the </w:t>
      </w:r>
      <w:r w:rsidR="00617C31" w:rsidRPr="00732E3C">
        <w:rPr>
          <w:bCs/>
          <w:iCs/>
          <w:color w:val="000000" w:themeColor="text1"/>
        </w:rPr>
        <w:t xml:space="preserve">decisions </w:t>
      </w:r>
      <w:r w:rsidR="00E851B2">
        <w:rPr>
          <w:bCs/>
          <w:iCs/>
          <w:color w:val="000000" w:themeColor="text1"/>
        </w:rPr>
        <w:t xml:space="preserve">that occur during the sequence of </w:t>
      </w:r>
      <w:r w:rsidR="00617C31" w:rsidRPr="00732E3C">
        <w:rPr>
          <w:bCs/>
          <w:iCs/>
          <w:color w:val="000000" w:themeColor="text1"/>
        </w:rPr>
        <w:t>investment</w:t>
      </w:r>
      <w:r w:rsidR="00E851B2">
        <w:rPr>
          <w:bCs/>
          <w:iCs/>
          <w:color w:val="000000" w:themeColor="text1"/>
        </w:rPr>
        <w:t>s rather than</w:t>
      </w:r>
      <w:r w:rsidR="00617C31" w:rsidRPr="00732E3C">
        <w:rPr>
          <w:bCs/>
          <w:iCs/>
          <w:color w:val="000000" w:themeColor="text1"/>
        </w:rPr>
        <w:t xml:space="preserve"> the initial decision.</w:t>
      </w:r>
      <w:r w:rsidR="00617C31">
        <w:rPr>
          <w:bCs/>
          <w:iCs/>
          <w:color w:val="000000" w:themeColor="text1"/>
        </w:rPr>
        <w:t xml:space="preserve"> </w:t>
      </w:r>
      <w:proofErr w:type="spellStart"/>
      <w:r w:rsidR="00732E3C" w:rsidRPr="00732E3C">
        <w:rPr>
          <w:bCs/>
          <w:iCs/>
          <w:color w:val="000000" w:themeColor="text1"/>
        </w:rPr>
        <w:t>Carr</w:t>
      </w:r>
      <w:proofErr w:type="spellEnd"/>
      <w:r w:rsidR="00732E3C" w:rsidRPr="00732E3C">
        <w:rPr>
          <w:bCs/>
          <w:iCs/>
          <w:color w:val="000000" w:themeColor="text1"/>
        </w:rPr>
        <w:t xml:space="preserve"> (1988) </w:t>
      </w:r>
      <w:r w:rsidR="002D312D">
        <w:rPr>
          <w:bCs/>
          <w:iCs/>
          <w:color w:val="000000" w:themeColor="text1"/>
        </w:rPr>
        <w:t xml:space="preserve">stressed that real option </w:t>
      </w:r>
      <w:r w:rsidR="002D312D" w:rsidRPr="00732E3C">
        <w:rPr>
          <w:bCs/>
          <w:iCs/>
          <w:color w:val="000000" w:themeColor="text1"/>
        </w:rPr>
        <w:t>dynamic</w:t>
      </w:r>
      <w:r w:rsidR="00E851B2">
        <w:rPr>
          <w:bCs/>
          <w:iCs/>
          <w:color w:val="000000" w:themeColor="text1"/>
        </w:rPr>
        <w:t>s</w:t>
      </w:r>
      <w:r w:rsidR="002D312D" w:rsidRPr="00732E3C">
        <w:rPr>
          <w:bCs/>
          <w:iCs/>
          <w:color w:val="000000" w:themeColor="text1"/>
        </w:rPr>
        <w:t xml:space="preserve"> </w:t>
      </w:r>
      <w:r w:rsidR="00E851B2">
        <w:rPr>
          <w:bCs/>
          <w:iCs/>
          <w:color w:val="000000" w:themeColor="text1"/>
        </w:rPr>
        <w:t>are</w:t>
      </w:r>
      <w:r w:rsidR="002D312D" w:rsidRPr="00732E3C">
        <w:rPr>
          <w:bCs/>
          <w:iCs/>
          <w:color w:val="000000" w:themeColor="text1"/>
        </w:rPr>
        <w:t xml:space="preserve"> assumed to follow a well-defined process</w:t>
      </w:r>
      <w:r w:rsidR="002D312D">
        <w:rPr>
          <w:bCs/>
          <w:iCs/>
          <w:color w:val="000000" w:themeColor="text1"/>
        </w:rPr>
        <w:t xml:space="preserve"> </w:t>
      </w:r>
      <w:r w:rsidR="00E851B2">
        <w:rPr>
          <w:bCs/>
          <w:iCs/>
          <w:color w:val="000000" w:themeColor="text1"/>
        </w:rPr>
        <w:t xml:space="preserve">rather </w:t>
      </w:r>
      <w:r w:rsidR="002D312D">
        <w:rPr>
          <w:bCs/>
          <w:iCs/>
          <w:color w:val="000000" w:themeColor="text1"/>
        </w:rPr>
        <w:t xml:space="preserve">than using option techniques to </w:t>
      </w:r>
      <w:r w:rsidR="002D312D" w:rsidRPr="00732E3C">
        <w:rPr>
          <w:bCs/>
          <w:iCs/>
          <w:color w:val="000000" w:themeColor="text1"/>
        </w:rPr>
        <w:t>predict future values of the underlying asset</w:t>
      </w:r>
      <w:r w:rsidR="00CF6F2E">
        <w:rPr>
          <w:bCs/>
          <w:iCs/>
          <w:color w:val="000000" w:themeColor="text1"/>
        </w:rPr>
        <w:t xml:space="preserve">. This is because </w:t>
      </w:r>
      <w:r w:rsidR="00732E3C" w:rsidRPr="00732E3C">
        <w:rPr>
          <w:bCs/>
          <w:iCs/>
          <w:color w:val="000000" w:themeColor="text1"/>
        </w:rPr>
        <w:t>option pricing is indispensable</w:t>
      </w:r>
      <w:r w:rsidR="00CF6F2E">
        <w:rPr>
          <w:bCs/>
          <w:iCs/>
          <w:color w:val="000000" w:themeColor="text1"/>
        </w:rPr>
        <w:t xml:space="preserve">, </w:t>
      </w:r>
      <w:r w:rsidR="00CF6F2E" w:rsidRPr="00732E3C">
        <w:rPr>
          <w:bCs/>
          <w:iCs/>
          <w:color w:val="000000" w:themeColor="text1"/>
        </w:rPr>
        <w:t>compound</w:t>
      </w:r>
      <w:r w:rsidR="00CF6F2E">
        <w:rPr>
          <w:bCs/>
          <w:iCs/>
          <w:color w:val="000000" w:themeColor="text1"/>
        </w:rPr>
        <w:t xml:space="preserve">ed if </w:t>
      </w:r>
      <w:r w:rsidR="00C448FC">
        <w:rPr>
          <w:bCs/>
          <w:iCs/>
          <w:color w:val="000000" w:themeColor="text1"/>
        </w:rPr>
        <w:t xml:space="preserve">a </w:t>
      </w:r>
      <w:r w:rsidR="00CF6F2E">
        <w:rPr>
          <w:bCs/>
          <w:iCs/>
          <w:color w:val="000000" w:themeColor="text1"/>
        </w:rPr>
        <w:t>decision change it changes</w:t>
      </w:r>
      <w:r w:rsidR="00732E3C" w:rsidRPr="00732E3C">
        <w:rPr>
          <w:bCs/>
          <w:iCs/>
          <w:color w:val="000000" w:themeColor="text1"/>
        </w:rPr>
        <w:t xml:space="preserve"> options</w:t>
      </w:r>
      <w:r w:rsidR="00E851B2">
        <w:rPr>
          <w:bCs/>
          <w:iCs/>
          <w:color w:val="000000" w:themeColor="text1"/>
        </w:rPr>
        <w:t>.</w:t>
      </w:r>
      <w:r w:rsidR="008D0DEB">
        <w:rPr>
          <w:bCs/>
          <w:iCs/>
          <w:color w:val="000000" w:themeColor="text1"/>
        </w:rPr>
        <w:t xml:space="preserve"> </w:t>
      </w:r>
      <w:proofErr w:type="spellStart"/>
      <w:r w:rsidR="00617C31" w:rsidRPr="00B8044A">
        <w:t>Trigeorgis</w:t>
      </w:r>
      <w:proofErr w:type="spellEnd"/>
      <w:r w:rsidR="00617C31" w:rsidRPr="00B8044A">
        <w:t xml:space="preserve"> </w:t>
      </w:r>
      <w:r w:rsidR="009A00DA" w:rsidRPr="00800BDD">
        <w:rPr>
          <w:bCs/>
          <w:color w:val="000000" w:themeColor="text1"/>
        </w:rPr>
        <w:t xml:space="preserve">and </w:t>
      </w:r>
      <w:proofErr w:type="spellStart"/>
      <w:r w:rsidR="009A00DA" w:rsidRPr="00800BDD">
        <w:rPr>
          <w:bCs/>
          <w:color w:val="000000" w:themeColor="text1"/>
        </w:rPr>
        <w:t>Reuer</w:t>
      </w:r>
      <w:proofErr w:type="spellEnd"/>
      <w:r w:rsidR="009A00DA">
        <w:rPr>
          <w:bCs/>
          <w:color w:val="000000" w:themeColor="text1"/>
        </w:rPr>
        <w:t xml:space="preserve"> (2017)</w:t>
      </w:r>
      <w:r w:rsidR="009A00DA" w:rsidRPr="00B8044A">
        <w:t xml:space="preserve"> </w:t>
      </w:r>
      <w:r w:rsidR="00617C31" w:rsidRPr="00B8044A">
        <w:t xml:space="preserve">describe real options as an inseparable package </w:t>
      </w:r>
      <w:r w:rsidR="00617C31">
        <w:t xml:space="preserve">and </w:t>
      </w:r>
      <w:r w:rsidR="00617C31" w:rsidRPr="00B8044A">
        <w:t>are embedded in the same asset, allow</w:t>
      </w:r>
      <w:r w:rsidR="00617C31">
        <w:t>ing</w:t>
      </w:r>
      <w:r w:rsidR="00617C31" w:rsidRPr="00B8044A">
        <w:t xml:space="preserve"> options to interact.</w:t>
      </w:r>
      <w:r w:rsidR="003C6572">
        <w:t xml:space="preserve"> </w:t>
      </w:r>
    </w:p>
    <w:p w14:paraId="24CEDA9A" w14:textId="52CD54E0" w:rsidR="002B1AB0" w:rsidRPr="00800701" w:rsidRDefault="00737D14" w:rsidP="00AE6602">
      <w:pPr>
        <w:spacing w:before="120" w:line="480" w:lineRule="auto"/>
        <w:ind w:firstLine="284"/>
        <w:jc w:val="both"/>
        <w:rPr>
          <w:bCs/>
        </w:rPr>
      </w:pPr>
      <w:r>
        <w:lastRenderedPageBreak/>
        <w:t>To continue with the preceding</w:t>
      </w:r>
      <w:r w:rsidR="008F2837">
        <w:t>, w</w:t>
      </w:r>
      <w:r w:rsidR="00D02042">
        <w:t xml:space="preserve">e </w:t>
      </w:r>
      <w:r w:rsidR="0091572F">
        <w:t xml:space="preserve">explain </w:t>
      </w:r>
      <w:r w:rsidR="00D02042">
        <w:t xml:space="preserve">that </w:t>
      </w:r>
      <w:r w:rsidR="00296CAC">
        <w:t xml:space="preserve">such </w:t>
      </w:r>
      <w:r w:rsidR="00D02042">
        <w:t>i</w:t>
      </w:r>
      <w:r w:rsidR="00617C31" w:rsidRPr="00B8044A">
        <w:t>nteraction create</w:t>
      </w:r>
      <w:r w:rsidR="00296CAC">
        <w:t>s</w:t>
      </w:r>
      <w:r w:rsidR="00617C31" w:rsidRPr="00B8044A">
        <w:t xml:space="preserve"> advantages</w:t>
      </w:r>
      <w:r w:rsidR="005968DD">
        <w:t xml:space="preserve"> </w:t>
      </w:r>
      <w:r w:rsidR="00E8276A">
        <w:t>among options</w:t>
      </w:r>
      <w:r w:rsidR="005968DD">
        <w:t xml:space="preserve"> whi</w:t>
      </w:r>
      <w:r w:rsidR="003C6572">
        <w:t xml:space="preserve">le it </w:t>
      </w:r>
      <w:r w:rsidR="00617C31" w:rsidRPr="00B8044A">
        <w:t>allow</w:t>
      </w:r>
      <w:r w:rsidR="003C6572">
        <w:t>s</w:t>
      </w:r>
      <w:r w:rsidR="00617C31" w:rsidRPr="00B8044A">
        <w:t xml:space="preserve"> </w:t>
      </w:r>
      <w:r w:rsidR="00296CAC">
        <w:t xml:space="preserve">for </w:t>
      </w:r>
      <w:r w:rsidR="00617C31">
        <w:t>investment</w:t>
      </w:r>
      <w:r w:rsidR="00617C31" w:rsidRPr="00B8044A">
        <w:t xml:space="preserve"> flexibility </w:t>
      </w:r>
      <w:r w:rsidR="00617C31">
        <w:t xml:space="preserve">such as </w:t>
      </w:r>
      <w:r w:rsidR="00923B7B">
        <w:t>deferring</w:t>
      </w:r>
      <w:r w:rsidR="00617C31" w:rsidRPr="00B8044A">
        <w:t xml:space="preserve"> undertaking the project </w:t>
      </w:r>
      <w:r w:rsidR="00CF6F2E">
        <w:t xml:space="preserve">or </w:t>
      </w:r>
      <w:r w:rsidR="00296CAC">
        <w:t xml:space="preserve">to </w:t>
      </w:r>
      <w:r w:rsidR="00CF6F2E" w:rsidRPr="00B8044A">
        <w:t>expand the project’s scale by making an additional investment outlay</w:t>
      </w:r>
      <w:r w:rsidR="00CF6F2E">
        <w:t xml:space="preserve">. Whereas, </w:t>
      </w:r>
      <w:r w:rsidR="00E8276A">
        <w:t>al</w:t>
      </w:r>
      <w:r w:rsidR="003F6DAB">
        <w:t xml:space="preserve">though </w:t>
      </w:r>
      <w:r w:rsidR="00CF6F2E">
        <w:t xml:space="preserve">to </w:t>
      </w:r>
      <w:r w:rsidR="00617C31" w:rsidRPr="00B8044A">
        <w:t xml:space="preserve">permanently abandon </w:t>
      </w:r>
      <w:r w:rsidR="00CF6F2E">
        <w:t>a</w:t>
      </w:r>
      <w:r w:rsidR="00617C31" w:rsidRPr="00B8044A">
        <w:t xml:space="preserve"> project </w:t>
      </w:r>
      <w:r w:rsidR="00CF6F2E">
        <w:t>is also an optio</w:t>
      </w:r>
      <w:r w:rsidR="003F6DAB">
        <w:t xml:space="preserve">n, </w:t>
      </w:r>
      <w:r w:rsidR="00D83414">
        <w:t xml:space="preserve">arguably, </w:t>
      </w:r>
      <w:r w:rsidR="00CF6F2E">
        <w:t xml:space="preserve">that abandonment </w:t>
      </w:r>
      <w:r w:rsidR="00617C31" w:rsidRPr="00B8044A">
        <w:t>without recovery</w:t>
      </w:r>
      <w:r w:rsidR="00CF6F2E">
        <w:t xml:space="preserve"> will </w:t>
      </w:r>
      <w:r w:rsidR="003F6DAB">
        <w:t xml:space="preserve">change the </w:t>
      </w:r>
      <w:r w:rsidR="00E8276A">
        <w:t>survival opportunity</w:t>
      </w:r>
      <w:r w:rsidR="006E465B">
        <w:t>. F</w:t>
      </w:r>
      <w:r w:rsidR="003F6DAB">
        <w:t>or example</w:t>
      </w:r>
      <w:r w:rsidR="006E465B">
        <w:t>,</w:t>
      </w:r>
      <w:r w:rsidR="003F6DAB">
        <w:t xml:space="preserve"> government </w:t>
      </w:r>
      <w:r w:rsidR="006E465B">
        <w:t>sectors’ Plan B by executing ‘circuit breakers’ (e.g., frequent small lockdown, or other restrictions) not only change its time-to-build option</w:t>
      </w:r>
      <w:r w:rsidR="002B1AB0">
        <w:t>s</w:t>
      </w:r>
      <w:r w:rsidR="006E465B">
        <w:t xml:space="preserve">, but also </w:t>
      </w:r>
      <w:r w:rsidR="00F82E1C">
        <w:t>cause</w:t>
      </w:r>
      <w:r w:rsidR="002B1AB0">
        <w:t xml:space="preserve"> corporate sectors either</w:t>
      </w:r>
      <w:r w:rsidR="006E465B">
        <w:t xml:space="preserve"> </w:t>
      </w:r>
      <w:r w:rsidR="00D83414">
        <w:t>to</w:t>
      </w:r>
      <w:r w:rsidR="00D83414" w:rsidRPr="00B8044A">
        <w:t xml:space="preserve"> </w:t>
      </w:r>
      <w:r w:rsidR="00617C31" w:rsidRPr="00B8044A">
        <w:t xml:space="preserve">switch </w:t>
      </w:r>
      <w:r w:rsidR="002B1AB0">
        <w:t xml:space="preserve">or to abandon </w:t>
      </w:r>
      <w:r w:rsidR="00617C31" w:rsidRPr="00B8044A">
        <w:t>the investment</w:t>
      </w:r>
      <w:r w:rsidR="002B1AB0">
        <w:t xml:space="preserve">. </w:t>
      </w:r>
      <w:r w:rsidR="00393107">
        <w:t>Although t</w:t>
      </w:r>
      <w:r w:rsidR="002B1AB0">
        <w:t>he</w:t>
      </w:r>
      <w:r w:rsidR="00D83414">
        <w:t xml:space="preserve"> </w:t>
      </w:r>
      <w:r w:rsidR="002B1AB0">
        <w:t>compounded exchange</w:t>
      </w:r>
      <w:r w:rsidR="00D83414">
        <w:t xml:space="preserve"> </w:t>
      </w:r>
      <w:r w:rsidR="002B1AB0">
        <w:t xml:space="preserve">can generate </w:t>
      </w:r>
      <w:r w:rsidR="00F82E1C">
        <w:t xml:space="preserve">future </w:t>
      </w:r>
      <w:r w:rsidR="002B1AB0">
        <w:t xml:space="preserve">option values, </w:t>
      </w:r>
      <w:r w:rsidR="00393107">
        <w:t>the</w:t>
      </w:r>
      <w:r w:rsidR="00D83414">
        <w:t xml:space="preserve"> </w:t>
      </w:r>
      <w:r w:rsidR="00F82E1C">
        <w:t xml:space="preserve">current </w:t>
      </w:r>
      <w:r w:rsidR="002B1AB0">
        <w:t xml:space="preserve">reality is the former by </w:t>
      </w:r>
      <w:r w:rsidR="002B1AB0" w:rsidRPr="00800701">
        <w:t>chang</w:t>
      </w:r>
      <w:r w:rsidR="002B1AB0">
        <w:t xml:space="preserve">ing </w:t>
      </w:r>
      <w:r w:rsidR="002B1AB0" w:rsidRPr="00800701">
        <w:t xml:space="preserve">uncertainty in the </w:t>
      </w:r>
      <w:r w:rsidR="002B1AB0">
        <w:t>latter</w:t>
      </w:r>
      <w:r w:rsidR="002B1AB0" w:rsidRPr="00800701">
        <w:t xml:space="preserve">, </w:t>
      </w:r>
      <w:r w:rsidR="002B1AB0">
        <w:t xml:space="preserve">therefore, </w:t>
      </w:r>
      <w:r w:rsidR="00C448FC">
        <w:t xml:space="preserve">changing </w:t>
      </w:r>
      <w:r w:rsidR="002B1AB0" w:rsidRPr="00800701">
        <w:t>option</w:t>
      </w:r>
      <w:r w:rsidR="00F82E1C">
        <w:t>s</w:t>
      </w:r>
      <w:r w:rsidR="002B1AB0" w:rsidRPr="00800701">
        <w:t xml:space="preserve"> </w:t>
      </w:r>
      <w:r w:rsidR="002B1AB0">
        <w:t>in</w:t>
      </w:r>
      <w:r w:rsidR="00F82E1C">
        <w:t xml:space="preserve">corporate opportunities </w:t>
      </w:r>
      <w:r w:rsidR="000F2A96">
        <w:t xml:space="preserve">such as </w:t>
      </w:r>
      <w:r w:rsidR="00F82E1C">
        <w:t>revitali</w:t>
      </w:r>
      <w:r w:rsidR="006F1E41">
        <w:t>s</w:t>
      </w:r>
      <w:r w:rsidR="00F82E1C">
        <w:t xml:space="preserve">ation and </w:t>
      </w:r>
      <w:r w:rsidR="004F746F">
        <w:t>growth</w:t>
      </w:r>
      <w:r w:rsidR="00F82E1C">
        <w:t xml:space="preserve">. </w:t>
      </w:r>
      <w:r w:rsidR="002B1AB0" w:rsidRPr="00800701">
        <w:t> </w:t>
      </w:r>
      <w:r w:rsidR="008F2837">
        <w:rPr>
          <w:bCs/>
          <w:iCs/>
          <w:color w:val="000000" w:themeColor="text1"/>
        </w:rPr>
        <w:t xml:space="preserve">Thus, we bring Figure 2 by which </w:t>
      </w:r>
      <w:r>
        <w:rPr>
          <w:bCs/>
          <w:iCs/>
          <w:color w:val="000000" w:themeColor="text1"/>
        </w:rPr>
        <w:t xml:space="preserve">to </w:t>
      </w:r>
      <w:r w:rsidR="008F2837">
        <w:rPr>
          <w:bCs/>
          <w:iCs/>
          <w:color w:val="000000" w:themeColor="text1"/>
        </w:rPr>
        <w:t>explain a set of options, including the options to</w:t>
      </w:r>
      <w:r w:rsidR="008F2837" w:rsidRPr="00F918BD">
        <w:rPr>
          <w:bCs/>
          <w:i/>
          <w:color w:val="000000" w:themeColor="text1"/>
        </w:rPr>
        <w:t xml:space="preserve"> </w:t>
      </w:r>
      <w:proofErr w:type="spellStart"/>
      <w:r w:rsidR="008F2837" w:rsidRPr="00F918BD">
        <w:rPr>
          <w:bCs/>
          <w:i/>
          <w:color w:val="000000" w:themeColor="text1"/>
        </w:rPr>
        <w:t>i</w:t>
      </w:r>
      <w:proofErr w:type="spellEnd"/>
      <w:r w:rsidR="008F2837">
        <w:rPr>
          <w:bCs/>
          <w:iCs/>
          <w:color w:val="000000" w:themeColor="text1"/>
        </w:rPr>
        <w:t xml:space="preserve">) defer, </w:t>
      </w:r>
      <w:r w:rsidR="008F2837" w:rsidRPr="00F918BD">
        <w:rPr>
          <w:bCs/>
          <w:i/>
          <w:color w:val="000000" w:themeColor="text1"/>
        </w:rPr>
        <w:t>ii</w:t>
      </w:r>
      <w:r w:rsidR="008F2837">
        <w:rPr>
          <w:bCs/>
          <w:iCs/>
          <w:color w:val="000000" w:themeColor="text1"/>
        </w:rPr>
        <w:t xml:space="preserve">) expand, </w:t>
      </w:r>
      <w:r w:rsidR="008F2837" w:rsidRPr="00F918BD">
        <w:rPr>
          <w:bCs/>
          <w:i/>
          <w:color w:val="000000" w:themeColor="text1"/>
        </w:rPr>
        <w:t>iii</w:t>
      </w:r>
      <w:r w:rsidR="008F2837">
        <w:rPr>
          <w:bCs/>
          <w:iCs/>
          <w:color w:val="000000" w:themeColor="text1"/>
        </w:rPr>
        <w:t xml:space="preserve">) switch, and </w:t>
      </w:r>
      <w:r w:rsidR="008F2837" w:rsidRPr="00F918BD">
        <w:rPr>
          <w:bCs/>
          <w:i/>
          <w:color w:val="000000" w:themeColor="text1"/>
        </w:rPr>
        <w:t>iv</w:t>
      </w:r>
      <w:r w:rsidR="008F2837">
        <w:rPr>
          <w:bCs/>
          <w:iCs/>
          <w:color w:val="000000" w:themeColor="text1"/>
        </w:rPr>
        <w:t>) abandon (as compound exchange options).</w:t>
      </w:r>
    </w:p>
    <w:p w14:paraId="7BB01093" w14:textId="77777777" w:rsidR="00F55F86" w:rsidRPr="00B8044A" w:rsidRDefault="00F55F86" w:rsidP="00F55F86">
      <w:pPr>
        <w:spacing w:before="240" w:line="480" w:lineRule="auto"/>
        <w:jc w:val="both"/>
      </w:pPr>
      <w:r w:rsidRPr="00245957">
        <w:rPr>
          <w:noProof/>
        </w:rPr>
        <w:drawing>
          <wp:inline distT="0" distB="0" distL="0" distR="0" wp14:anchorId="3319854D" wp14:editId="751BA526">
            <wp:extent cx="5303520" cy="2366625"/>
            <wp:effectExtent l="0" t="0" r="0" b="0"/>
            <wp:docPr id="10571" name="Picture 1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9841" cy="2391758"/>
                    </a:xfrm>
                    <a:prstGeom prst="rect">
                      <a:avLst/>
                    </a:prstGeom>
                  </pic:spPr>
                </pic:pic>
              </a:graphicData>
            </a:graphic>
          </wp:inline>
        </w:drawing>
      </w:r>
    </w:p>
    <w:p w14:paraId="2C78D895" w14:textId="175678AD" w:rsidR="00F55F86" w:rsidRDefault="00F55F86" w:rsidP="00F55F86">
      <w:pPr>
        <w:spacing w:line="480" w:lineRule="auto"/>
        <w:jc w:val="both"/>
      </w:pPr>
      <w:r w:rsidRPr="00B8044A">
        <w:t>Fig</w:t>
      </w:r>
      <w:r w:rsidR="00005D94">
        <w:t>.</w:t>
      </w:r>
      <w:r w:rsidRPr="00B8044A">
        <w:t xml:space="preserve"> </w:t>
      </w:r>
      <w:r>
        <w:t>2</w:t>
      </w:r>
      <w:r w:rsidRPr="00B8044A">
        <w:t>.</w:t>
      </w:r>
      <w:r>
        <w:t xml:space="preserve"> Assumed</w:t>
      </w:r>
      <w:r w:rsidRPr="00B8044A">
        <w:t xml:space="preserve"> </w:t>
      </w:r>
      <w:r w:rsidR="00005D94">
        <w:t>g</w:t>
      </w:r>
      <w:r>
        <w:t xml:space="preserve">overnment </w:t>
      </w:r>
      <w:r w:rsidR="00005D94">
        <w:t>s</w:t>
      </w:r>
      <w:r>
        <w:t>ector ROA</w:t>
      </w:r>
      <w:r w:rsidRPr="00B8044A">
        <w:t xml:space="preserve"> </w:t>
      </w:r>
      <w:r>
        <w:t xml:space="preserve">of </w:t>
      </w:r>
      <w:r w:rsidR="00005D94">
        <w:t>d</w:t>
      </w:r>
      <w:r>
        <w:t xml:space="preserve">efer, </w:t>
      </w:r>
      <w:r w:rsidR="00005D94">
        <w:t>e</w:t>
      </w:r>
      <w:r>
        <w:t xml:space="preserve">xpand, and </w:t>
      </w:r>
      <w:r w:rsidR="00005D94">
        <w:t>s</w:t>
      </w:r>
      <w:r>
        <w:t xml:space="preserve">witch </w:t>
      </w:r>
    </w:p>
    <w:p w14:paraId="2BE14613" w14:textId="2A3DFA61" w:rsidR="000C6169" w:rsidRDefault="00D02042" w:rsidP="008F2837">
      <w:pPr>
        <w:spacing w:before="120" w:line="480" w:lineRule="auto"/>
        <w:ind w:firstLine="284"/>
        <w:jc w:val="both"/>
      </w:pPr>
      <w:r>
        <w:rPr>
          <w:bCs/>
          <w:iCs/>
          <w:color w:val="000000" w:themeColor="text1"/>
        </w:rPr>
        <w:t>These four options</w:t>
      </w:r>
      <w:r w:rsidR="00DA76BC">
        <w:rPr>
          <w:bCs/>
          <w:iCs/>
          <w:color w:val="000000" w:themeColor="text1"/>
        </w:rPr>
        <w:t xml:space="preserve"> </w:t>
      </w:r>
      <w:r w:rsidR="0091572F">
        <w:rPr>
          <w:bCs/>
          <w:iCs/>
          <w:color w:val="000000" w:themeColor="text1"/>
        </w:rPr>
        <w:t xml:space="preserve">were crucially concerned about the </w:t>
      </w:r>
      <w:r>
        <w:rPr>
          <w:bCs/>
          <w:iCs/>
          <w:color w:val="000000" w:themeColor="text1"/>
        </w:rPr>
        <w:t xml:space="preserve">decision process </w:t>
      </w:r>
      <w:r w:rsidR="004F746F">
        <w:rPr>
          <w:bCs/>
          <w:iCs/>
          <w:color w:val="000000" w:themeColor="text1"/>
        </w:rPr>
        <w:t xml:space="preserve">during </w:t>
      </w:r>
      <w:r w:rsidR="0087192F">
        <w:rPr>
          <w:bCs/>
          <w:iCs/>
          <w:color w:val="000000" w:themeColor="text1"/>
        </w:rPr>
        <w:t>the unprecedented event</w:t>
      </w:r>
      <w:r w:rsidR="002D312D">
        <w:rPr>
          <w:bCs/>
          <w:iCs/>
          <w:color w:val="000000" w:themeColor="text1"/>
        </w:rPr>
        <w:t>s</w:t>
      </w:r>
      <w:r w:rsidR="0087192F">
        <w:rPr>
          <w:bCs/>
          <w:iCs/>
          <w:color w:val="000000" w:themeColor="text1"/>
        </w:rPr>
        <w:t xml:space="preserve"> of </w:t>
      </w:r>
      <w:r w:rsidR="00E851B2">
        <w:rPr>
          <w:bCs/>
          <w:iCs/>
          <w:color w:val="000000" w:themeColor="text1"/>
        </w:rPr>
        <w:t xml:space="preserve">the </w:t>
      </w:r>
      <w:r w:rsidR="0066106F">
        <w:rPr>
          <w:bCs/>
          <w:iCs/>
          <w:color w:val="000000" w:themeColor="text1"/>
        </w:rPr>
        <w:t>COVID</w:t>
      </w:r>
      <w:r w:rsidR="0087192F">
        <w:rPr>
          <w:bCs/>
          <w:iCs/>
          <w:color w:val="000000" w:themeColor="text1"/>
        </w:rPr>
        <w:t xml:space="preserve">-19 </w:t>
      </w:r>
      <w:r w:rsidR="005209A6">
        <w:rPr>
          <w:bCs/>
          <w:iCs/>
          <w:color w:val="000000" w:themeColor="text1"/>
        </w:rPr>
        <w:t>Pandemic</w:t>
      </w:r>
      <w:r w:rsidR="0087192F">
        <w:rPr>
          <w:bCs/>
          <w:iCs/>
          <w:color w:val="000000" w:themeColor="text1"/>
        </w:rPr>
        <w:t>.</w:t>
      </w:r>
      <w:r w:rsidR="00AF479B">
        <w:rPr>
          <w:bCs/>
          <w:iCs/>
          <w:color w:val="000000" w:themeColor="text1"/>
        </w:rPr>
        <w:t xml:space="preserve"> </w:t>
      </w:r>
      <w:r w:rsidR="00C050DC">
        <w:rPr>
          <w:bCs/>
          <w:iCs/>
          <w:color w:val="000000" w:themeColor="text1"/>
        </w:rPr>
        <w:t xml:space="preserve">First, with </w:t>
      </w:r>
      <w:r w:rsidR="0087192F">
        <w:rPr>
          <w:bCs/>
          <w:iCs/>
          <w:color w:val="000000" w:themeColor="text1"/>
        </w:rPr>
        <w:t>t</w:t>
      </w:r>
      <w:r w:rsidR="00F126B9">
        <w:rPr>
          <w:bCs/>
          <w:iCs/>
          <w:color w:val="000000" w:themeColor="text1"/>
        </w:rPr>
        <w:t>he lockdo</w:t>
      </w:r>
      <w:r w:rsidR="008D0DEB">
        <w:rPr>
          <w:bCs/>
          <w:iCs/>
          <w:color w:val="000000" w:themeColor="text1"/>
        </w:rPr>
        <w:t>wn</w:t>
      </w:r>
      <w:r w:rsidR="002D312D">
        <w:rPr>
          <w:bCs/>
          <w:iCs/>
          <w:color w:val="000000" w:themeColor="text1"/>
        </w:rPr>
        <w:t xml:space="preserve"> decision</w:t>
      </w:r>
      <w:r w:rsidR="00AF3857" w:rsidRPr="00AF3857">
        <w:rPr>
          <w:bCs/>
          <w:iCs/>
          <w:color w:val="000000" w:themeColor="text1"/>
        </w:rPr>
        <w:t xml:space="preserve"> </w:t>
      </w:r>
      <w:r w:rsidR="00AF3857">
        <w:rPr>
          <w:bCs/>
          <w:iCs/>
          <w:color w:val="000000" w:themeColor="text1"/>
        </w:rPr>
        <w:t>in the timeline from 16</w:t>
      </w:r>
      <w:r w:rsidR="00923B7B">
        <w:rPr>
          <w:bCs/>
          <w:iCs/>
          <w:color w:val="000000" w:themeColor="text1"/>
        </w:rPr>
        <w:t>th</w:t>
      </w:r>
      <w:r w:rsidR="00AF3857">
        <w:rPr>
          <w:bCs/>
          <w:iCs/>
          <w:color w:val="000000" w:themeColor="text1"/>
        </w:rPr>
        <w:t xml:space="preserve"> March 2020 to 8</w:t>
      </w:r>
      <w:r w:rsidR="00AF3857" w:rsidRPr="00F126B9">
        <w:rPr>
          <w:bCs/>
          <w:iCs/>
          <w:color w:val="000000" w:themeColor="text1"/>
          <w:vertAlign w:val="superscript"/>
        </w:rPr>
        <w:t>th</w:t>
      </w:r>
      <w:r w:rsidR="00AF3857">
        <w:rPr>
          <w:bCs/>
          <w:iCs/>
          <w:color w:val="000000" w:themeColor="text1"/>
        </w:rPr>
        <w:t xml:space="preserve"> March 2021 (IFG, 2021a)</w:t>
      </w:r>
      <w:r w:rsidR="008D0DEB">
        <w:rPr>
          <w:bCs/>
          <w:iCs/>
          <w:color w:val="000000" w:themeColor="text1"/>
        </w:rPr>
        <w:t>,</w:t>
      </w:r>
      <w:r w:rsidR="005F3C11">
        <w:rPr>
          <w:bCs/>
          <w:iCs/>
          <w:color w:val="000000" w:themeColor="text1"/>
        </w:rPr>
        <w:t xml:space="preserve"> we </w:t>
      </w:r>
      <w:r w:rsidR="00C050DC">
        <w:rPr>
          <w:bCs/>
          <w:iCs/>
          <w:color w:val="000000" w:themeColor="text1"/>
        </w:rPr>
        <w:t xml:space="preserve">explain </w:t>
      </w:r>
      <w:r w:rsidR="002F4B97">
        <w:rPr>
          <w:bCs/>
          <w:iCs/>
          <w:color w:val="000000" w:themeColor="text1"/>
        </w:rPr>
        <w:t xml:space="preserve">this </w:t>
      </w:r>
      <w:r w:rsidR="00C050DC">
        <w:rPr>
          <w:bCs/>
          <w:iCs/>
          <w:color w:val="000000" w:themeColor="text1"/>
        </w:rPr>
        <w:t xml:space="preserve">option together with </w:t>
      </w:r>
      <w:r w:rsidR="00716C93">
        <w:rPr>
          <w:bCs/>
          <w:iCs/>
          <w:color w:val="000000" w:themeColor="text1"/>
        </w:rPr>
        <w:t xml:space="preserve">the UK </w:t>
      </w:r>
      <w:r w:rsidR="00D15B31">
        <w:rPr>
          <w:bCs/>
          <w:iCs/>
          <w:color w:val="000000" w:themeColor="text1"/>
        </w:rPr>
        <w:t>v</w:t>
      </w:r>
      <w:r w:rsidR="00716C93">
        <w:rPr>
          <w:bCs/>
          <w:iCs/>
          <w:color w:val="000000" w:themeColor="text1"/>
        </w:rPr>
        <w:t xml:space="preserve">accine </w:t>
      </w:r>
      <w:r w:rsidR="00D15B31">
        <w:rPr>
          <w:bCs/>
          <w:iCs/>
          <w:color w:val="000000" w:themeColor="text1"/>
        </w:rPr>
        <w:t>r</w:t>
      </w:r>
      <w:r w:rsidR="00716C93">
        <w:rPr>
          <w:bCs/>
          <w:iCs/>
          <w:color w:val="000000" w:themeColor="text1"/>
        </w:rPr>
        <w:t xml:space="preserve">ollout </w:t>
      </w:r>
      <w:r w:rsidR="00597582">
        <w:rPr>
          <w:bCs/>
          <w:iCs/>
          <w:color w:val="000000" w:themeColor="text1"/>
        </w:rPr>
        <w:t xml:space="preserve">programs </w:t>
      </w:r>
      <w:r w:rsidR="00AF3857">
        <w:rPr>
          <w:bCs/>
          <w:iCs/>
          <w:color w:val="000000" w:themeColor="text1"/>
        </w:rPr>
        <w:t xml:space="preserve">during the time Dec 2020-Dec 2021 </w:t>
      </w:r>
      <w:r w:rsidR="00716C93">
        <w:rPr>
          <w:bCs/>
          <w:iCs/>
          <w:color w:val="000000" w:themeColor="text1"/>
        </w:rPr>
        <w:t>(</w:t>
      </w:r>
      <w:proofErr w:type="spellStart"/>
      <w:r w:rsidR="00716C93" w:rsidRPr="00716C93">
        <w:rPr>
          <w:bCs/>
          <w:iCs/>
          <w:color w:val="000000" w:themeColor="text1"/>
        </w:rPr>
        <w:t>Baraniuk</w:t>
      </w:r>
      <w:proofErr w:type="spellEnd"/>
      <w:r w:rsidR="00716C93">
        <w:rPr>
          <w:bCs/>
          <w:iCs/>
          <w:color w:val="000000" w:themeColor="text1"/>
        </w:rPr>
        <w:t>, 2021</w:t>
      </w:r>
      <w:r w:rsidR="00A10CCF">
        <w:rPr>
          <w:bCs/>
          <w:iCs/>
          <w:color w:val="000000" w:themeColor="text1"/>
        </w:rPr>
        <w:t>;</w:t>
      </w:r>
      <w:r w:rsidR="00250584">
        <w:rPr>
          <w:bCs/>
          <w:iCs/>
          <w:color w:val="000000" w:themeColor="text1"/>
        </w:rPr>
        <w:t xml:space="preserve"> </w:t>
      </w:r>
      <w:r w:rsidR="00250584">
        <w:rPr>
          <w:bCs/>
          <w:iCs/>
          <w:color w:val="000000" w:themeColor="text1"/>
        </w:rPr>
        <w:lastRenderedPageBreak/>
        <w:t>IFG</w:t>
      </w:r>
      <w:r w:rsidR="00A10CCF">
        <w:rPr>
          <w:bCs/>
          <w:iCs/>
          <w:color w:val="000000" w:themeColor="text1"/>
        </w:rPr>
        <w:t>,</w:t>
      </w:r>
      <w:r w:rsidR="00250584">
        <w:rPr>
          <w:bCs/>
          <w:iCs/>
          <w:color w:val="000000" w:themeColor="text1"/>
        </w:rPr>
        <w:t xml:space="preserve"> 202</w:t>
      </w:r>
      <w:r w:rsidR="00A10CCF">
        <w:rPr>
          <w:bCs/>
          <w:iCs/>
          <w:color w:val="000000" w:themeColor="text1"/>
        </w:rPr>
        <w:t>1b</w:t>
      </w:r>
      <w:r w:rsidR="00716C93">
        <w:rPr>
          <w:bCs/>
          <w:iCs/>
          <w:color w:val="000000" w:themeColor="text1"/>
        </w:rPr>
        <w:t>)</w:t>
      </w:r>
      <w:r w:rsidR="005E631E">
        <w:rPr>
          <w:bCs/>
          <w:iCs/>
          <w:color w:val="000000" w:themeColor="text1"/>
        </w:rPr>
        <w:t>,</w:t>
      </w:r>
      <w:r w:rsidR="005F3C11">
        <w:rPr>
          <w:bCs/>
          <w:iCs/>
          <w:color w:val="000000" w:themeColor="text1"/>
        </w:rPr>
        <w:t xml:space="preserve"> </w:t>
      </w:r>
      <w:r w:rsidR="00AF3857">
        <w:rPr>
          <w:bCs/>
          <w:iCs/>
          <w:color w:val="000000" w:themeColor="text1"/>
        </w:rPr>
        <w:t xml:space="preserve">which </w:t>
      </w:r>
      <w:r w:rsidR="00104B69">
        <w:rPr>
          <w:bCs/>
          <w:iCs/>
          <w:color w:val="000000" w:themeColor="text1"/>
        </w:rPr>
        <w:t>are</w:t>
      </w:r>
      <w:r w:rsidR="00597582">
        <w:rPr>
          <w:bCs/>
          <w:iCs/>
          <w:color w:val="000000" w:themeColor="text1"/>
        </w:rPr>
        <w:t xml:space="preserve"> </w:t>
      </w:r>
      <w:r w:rsidR="00E851B2">
        <w:rPr>
          <w:bCs/>
          <w:iCs/>
          <w:color w:val="000000" w:themeColor="text1"/>
        </w:rPr>
        <w:t>part of the g</w:t>
      </w:r>
      <w:r w:rsidR="00716C93">
        <w:rPr>
          <w:bCs/>
          <w:iCs/>
          <w:color w:val="000000" w:themeColor="text1"/>
        </w:rPr>
        <w:t xml:space="preserve">overnment sector’s </w:t>
      </w:r>
      <w:r w:rsidR="005E631E">
        <w:rPr>
          <w:bCs/>
          <w:iCs/>
          <w:color w:val="000000" w:themeColor="text1"/>
        </w:rPr>
        <w:t xml:space="preserve">real </w:t>
      </w:r>
      <w:r w:rsidR="00716C93">
        <w:rPr>
          <w:bCs/>
          <w:iCs/>
          <w:color w:val="000000" w:themeColor="text1"/>
        </w:rPr>
        <w:t>options</w:t>
      </w:r>
      <w:r w:rsidR="00E851B2">
        <w:rPr>
          <w:bCs/>
          <w:iCs/>
          <w:color w:val="000000" w:themeColor="text1"/>
        </w:rPr>
        <w:t xml:space="preserve"> portfolio</w:t>
      </w:r>
      <w:r w:rsidR="00716C93">
        <w:rPr>
          <w:bCs/>
          <w:iCs/>
          <w:color w:val="000000" w:themeColor="text1"/>
        </w:rPr>
        <w:t xml:space="preserve">. </w:t>
      </w:r>
      <w:r w:rsidR="00C050DC">
        <w:rPr>
          <w:bCs/>
          <w:iCs/>
          <w:color w:val="000000" w:themeColor="text1"/>
        </w:rPr>
        <w:t>The above informed Project A: deferral, and Project B: expand.</w:t>
      </w:r>
      <w:r w:rsidR="008F2837">
        <w:rPr>
          <w:bCs/>
          <w:iCs/>
          <w:color w:val="000000" w:themeColor="text1"/>
        </w:rPr>
        <w:t xml:space="preserve"> </w:t>
      </w:r>
      <w:r w:rsidR="00C050DC">
        <w:rPr>
          <w:bCs/>
        </w:rPr>
        <w:t xml:space="preserve">We </w:t>
      </w:r>
      <w:r w:rsidR="00C050DC">
        <w:t>evaluate the lockdown option by regarding it as a ‘deferral’ in a ROA to the decision process (DP)</w:t>
      </w:r>
      <w:r w:rsidR="00C050DC">
        <w:rPr>
          <w:bCs/>
        </w:rPr>
        <w:t xml:space="preserve">. For instance, </w:t>
      </w:r>
      <w:r w:rsidR="00C050DC">
        <w:t xml:space="preserve">the initial single ‘deferral’ option by </w:t>
      </w:r>
      <w:r w:rsidR="00C050DC" w:rsidRPr="00FD2CA7">
        <w:t>‘</w:t>
      </w:r>
      <w:r w:rsidR="00C050DC">
        <w:t>l</w:t>
      </w:r>
      <w:r w:rsidR="00C050DC" w:rsidRPr="00FD2CA7">
        <w:t xml:space="preserve">ocal lockdowns’ </w:t>
      </w:r>
      <w:r w:rsidR="00C050DC">
        <w:t>or</w:t>
      </w:r>
      <w:r w:rsidR="00C050DC" w:rsidRPr="00FD2CA7">
        <w:t xml:space="preserve"> ‘circuit breakers’ halt the temporary spread of the virus, especially in social settings where it remains virulent (WHO, 2020; Gov.UK, 2020)</w:t>
      </w:r>
      <w:r w:rsidR="00C050DC">
        <w:t xml:space="preserve">. The </w:t>
      </w:r>
      <w:r w:rsidR="00C050DC" w:rsidRPr="00FD2CA7">
        <w:t xml:space="preserve">forms </w:t>
      </w:r>
      <w:r w:rsidR="00C050DC">
        <w:t>and</w:t>
      </w:r>
      <w:r w:rsidR="00C050DC" w:rsidRPr="00FD2CA7">
        <w:t xml:space="preserve"> means of control emerge endogenously (i</w:t>
      </w:r>
      <w:r w:rsidR="00C050DC">
        <w:t>.</w:t>
      </w:r>
      <w:r w:rsidR="00C050DC" w:rsidRPr="00FD2CA7">
        <w:t>e.</w:t>
      </w:r>
      <w:r w:rsidR="00C050DC">
        <w:t>,</w:t>
      </w:r>
      <w:r w:rsidR="00C050DC" w:rsidRPr="00FD2CA7">
        <w:t xml:space="preserve"> national institutions act collectively) to address the impact of </w:t>
      </w:r>
      <w:r w:rsidR="00C050DC">
        <w:t>the COVID</w:t>
      </w:r>
      <w:r w:rsidR="00C050DC" w:rsidRPr="00FD2CA7">
        <w:t xml:space="preserve">-19 </w:t>
      </w:r>
      <w:r w:rsidR="00C050DC">
        <w:t>P</w:t>
      </w:r>
      <w:r w:rsidR="00C050DC" w:rsidRPr="00FD2CA7">
        <w:t xml:space="preserve">andemic. </w:t>
      </w:r>
      <w:r w:rsidR="00C050DC">
        <w:t>The benefits, more</w:t>
      </w:r>
      <w:r w:rsidR="00F55F86">
        <w:t xml:space="preserve"> generally, are</w:t>
      </w:r>
      <w:r w:rsidR="00C050DC">
        <w:t xml:space="preserve"> the</w:t>
      </w:r>
      <w:r w:rsidR="00C050DC" w:rsidRPr="00B715FD">
        <w:t xml:space="preserve"> </w:t>
      </w:r>
      <w:r w:rsidR="00C050DC">
        <w:t>underlying</w:t>
      </w:r>
      <w:r w:rsidR="00C050DC" w:rsidRPr="00B715FD">
        <w:t xml:space="preserve"> </w:t>
      </w:r>
      <w:r w:rsidR="00C050DC">
        <w:t xml:space="preserve">values at a particular point in time that have been seen as “saving lives”, “saving the NHS” (National Health Service), and “protect the vulnerable”. </w:t>
      </w:r>
    </w:p>
    <w:p w14:paraId="31106DEC" w14:textId="25C46FF5" w:rsidR="00C050DC" w:rsidRPr="00AE6602" w:rsidRDefault="00C050DC" w:rsidP="00AE6602">
      <w:pPr>
        <w:spacing w:before="120" w:line="480" w:lineRule="auto"/>
        <w:ind w:firstLine="284"/>
        <w:jc w:val="both"/>
        <w:rPr>
          <w:bCs/>
          <w:iCs/>
          <w:color w:val="000000" w:themeColor="text1"/>
        </w:rPr>
      </w:pPr>
      <w:r>
        <w:t>The deferral (Project A) therefore has an attempt to minimise the detrimental effects on the future economy.</w:t>
      </w:r>
      <w:r w:rsidR="000C6169">
        <w:rPr>
          <w:bCs/>
          <w:iCs/>
          <w:color w:val="000000" w:themeColor="text1"/>
        </w:rPr>
        <w:t xml:space="preserve"> </w:t>
      </w:r>
      <w:r w:rsidRPr="0014184E">
        <w:t xml:space="preserve">The </w:t>
      </w:r>
      <w:r>
        <w:t xml:space="preserve">decision process </w:t>
      </w:r>
      <w:r w:rsidR="000A7B65">
        <w:t xml:space="preserve">in our proposed sequential ROA </w:t>
      </w:r>
      <w:r>
        <w:t xml:space="preserve">(Figure 2, with references of </w:t>
      </w:r>
      <w:proofErr w:type="spellStart"/>
      <w:r w:rsidRPr="00B8044A">
        <w:t>Trigeorgis</w:t>
      </w:r>
      <w:proofErr w:type="spellEnd"/>
      <w:r>
        <w:t xml:space="preserve">, </w:t>
      </w:r>
      <w:r w:rsidRPr="00B8044A">
        <w:t>1996</w:t>
      </w:r>
      <w:r>
        <w:t xml:space="preserve">; </w:t>
      </w:r>
      <w:proofErr w:type="spellStart"/>
      <w:r w:rsidRPr="00800BDD">
        <w:rPr>
          <w:bCs/>
          <w:color w:val="000000" w:themeColor="text1"/>
        </w:rPr>
        <w:t>Trigeorgis</w:t>
      </w:r>
      <w:proofErr w:type="spellEnd"/>
      <w:r w:rsidRPr="00800BDD">
        <w:rPr>
          <w:bCs/>
          <w:color w:val="000000" w:themeColor="text1"/>
        </w:rPr>
        <w:t xml:space="preserve"> and </w:t>
      </w:r>
      <w:proofErr w:type="spellStart"/>
      <w:r w:rsidRPr="00800BDD">
        <w:rPr>
          <w:bCs/>
          <w:color w:val="000000" w:themeColor="text1"/>
        </w:rPr>
        <w:t>Reuer</w:t>
      </w:r>
      <w:proofErr w:type="spellEnd"/>
      <w:r>
        <w:rPr>
          <w:bCs/>
          <w:color w:val="000000" w:themeColor="text1"/>
        </w:rPr>
        <w:t>, 2017</w:t>
      </w:r>
      <w:r>
        <w:t>)</w:t>
      </w:r>
      <w:r w:rsidR="000A7B65">
        <w:t xml:space="preserve">, </w:t>
      </w:r>
      <w:r w:rsidRPr="0014184E">
        <w:t>with initial considerations</w:t>
      </w:r>
      <w:r>
        <w:t xml:space="preserve">, </w:t>
      </w:r>
      <w:r w:rsidR="000A7B65">
        <w:t xml:space="preserve">becomes </w:t>
      </w:r>
      <w:r>
        <w:t>an addition to the government sector</w:t>
      </w:r>
      <w:r w:rsidRPr="0014184E">
        <w:t xml:space="preserve"> acquire</w:t>
      </w:r>
      <w:r>
        <w:t>d</w:t>
      </w:r>
      <w:r w:rsidRPr="0014184E">
        <w:t xml:space="preserve"> a </w:t>
      </w:r>
      <w:r w:rsidRPr="0096771E">
        <w:rPr>
          <w:i/>
          <w:iCs/>
        </w:rPr>
        <w:t>t</w:t>
      </w:r>
      <w:r>
        <w:rPr>
          <w:i/>
          <w:iCs/>
        </w:rPr>
        <w:t xml:space="preserve"> </w:t>
      </w:r>
      <w:r>
        <w:t>=12-</w:t>
      </w:r>
      <w:r w:rsidRPr="0014184E">
        <w:t>month</w:t>
      </w:r>
      <w:r>
        <w:t>s</w:t>
      </w:r>
      <w:r w:rsidRPr="0014184E">
        <w:t xml:space="preserve"> </w:t>
      </w:r>
      <w:r>
        <w:t>(deferral) option</w:t>
      </w:r>
      <w:r w:rsidR="000A7B65">
        <w:t xml:space="preserve">. Thus, it </w:t>
      </w:r>
      <w:r>
        <w:t xml:space="preserve">also enabled </w:t>
      </w:r>
      <w:r w:rsidR="000A7B65">
        <w:t>further</w:t>
      </w:r>
      <w:r>
        <w:t xml:space="preserve"> </w:t>
      </w:r>
      <w:r w:rsidRPr="0014184E">
        <w:t>call and put option</w:t>
      </w:r>
      <w:r>
        <w:t>s</w:t>
      </w:r>
      <w:r w:rsidRPr="0014184E">
        <w:t xml:space="preserve"> (</w:t>
      </w:r>
      <w:r w:rsidRPr="00E95924">
        <w:rPr>
          <w:i/>
          <w:iCs/>
        </w:rPr>
        <w:t>T</w:t>
      </w:r>
      <w:r w:rsidRPr="0014184E">
        <w:rPr>
          <w:vertAlign w:val="subscript"/>
        </w:rPr>
        <w:t>1</w:t>
      </w:r>
      <w:r w:rsidRPr="0014184E">
        <w:t xml:space="preserve"> = 1).</w:t>
      </w:r>
      <w:r>
        <w:t xml:space="preserve"> </w:t>
      </w:r>
      <w:r w:rsidRPr="00B8044A">
        <w:t>The</w:t>
      </w:r>
      <w:r w:rsidR="000C6169">
        <w:t>n the</w:t>
      </w:r>
      <w:r w:rsidRPr="00B8044A">
        <w:t xml:space="preserve"> option to expand </w:t>
      </w:r>
      <w:r w:rsidR="000C6169">
        <w:t xml:space="preserve">(Project B) </w:t>
      </w:r>
      <w:r w:rsidRPr="00B8044A">
        <w:t>can be a strategic dimension as it can make additional follow-up investment</w:t>
      </w:r>
      <w:r>
        <w:t>s</w:t>
      </w:r>
      <w:r w:rsidRPr="00B8044A">
        <w:t xml:space="preserve"> by building excess production capacity that would enable it to produce at a faster rate. </w:t>
      </w:r>
      <w:r>
        <w:t xml:space="preserve">The </w:t>
      </w:r>
      <w:r w:rsidRPr="0014184E">
        <w:t xml:space="preserve">further </w:t>
      </w:r>
      <w:r w:rsidR="00005D94">
        <w:t>opportunities,</w:t>
      </w:r>
      <w:r>
        <w:t xml:space="preserve"> the</w:t>
      </w:r>
      <w:r w:rsidR="00737D14">
        <w:t>refore,</w:t>
      </w:r>
      <w:r>
        <w:t xml:space="preserve"> </w:t>
      </w:r>
      <w:r w:rsidRPr="0014184E">
        <w:t>will be</w:t>
      </w:r>
      <w:r>
        <w:t>,</w:t>
      </w:r>
      <w:r w:rsidRPr="0014184E">
        <w:t xml:space="preserve"> for </w:t>
      </w:r>
      <w:r>
        <w:t xml:space="preserve">example, vaccine rollout and contractual programs (expand) </w:t>
      </w:r>
      <w:r w:rsidRPr="0014184E">
        <w:t xml:space="preserve">and its associated </w:t>
      </w:r>
      <w:r>
        <w:t>(</w:t>
      </w:r>
      <w:r w:rsidR="000669BA">
        <w:t>i.e.,</w:t>
      </w:r>
      <w:r>
        <w:t xml:space="preserve"> production </w:t>
      </w:r>
      <w:r w:rsidRPr="0014184E">
        <w:t>infrastructure</w:t>
      </w:r>
      <w:r>
        <w:t>)</w:t>
      </w:r>
      <w:r w:rsidRPr="0014184E">
        <w:t xml:space="preserve">. </w:t>
      </w:r>
      <w:r>
        <w:t>I</w:t>
      </w:r>
      <w:r w:rsidRPr="0014184E">
        <w:t xml:space="preserve">f market conditions deteriorate, </w:t>
      </w:r>
      <w:r>
        <w:t xml:space="preserve">the government sector </w:t>
      </w:r>
      <w:r w:rsidRPr="0014184E">
        <w:t>can choose to forgo any future planned investments (</w:t>
      </w:r>
      <w:r w:rsidRPr="0014184E">
        <w:rPr>
          <w:i/>
          <w:iCs/>
        </w:rPr>
        <w:t>I</w:t>
      </w:r>
      <w:r w:rsidRPr="0014184E">
        <w:rPr>
          <w:vertAlign w:val="subscript"/>
        </w:rPr>
        <w:t>2</w:t>
      </w:r>
      <w:r w:rsidRPr="0014184E">
        <w:t xml:space="preserve">). </w:t>
      </w:r>
    </w:p>
    <w:p w14:paraId="02F5A1D1" w14:textId="36058DE3" w:rsidR="00D77435" w:rsidRDefault="00F55F86" w:rsidP="00D77435">
      <w:pPr>
        <w:spacing w:before="120" w:line="480" w:lineRule="auto"/>
        <w:ind w:firstLine="284"/>
        <w:jc w:val="both"/>
      </w:pPr>
      <w:r>
        <w:rPr>
          <w:bCs/>
          <w:iCs/>
          <w:color w:val="000000" w:themeColor="text1"/>
        </w:rPr>
        <w:t xml:space="preserve">In moving to option three </w:t>
      </w:r>
      <w:r w:rsidR="000C6169">
        <w:rPr>
          <w:bCs/>
          <w:iCs/>
          <w:color w:val="000000" w:themeColor="text1"/>
        </w:rPr>
        <w:t xml:space="preserve">(Project C) </w:t>
      </w:r>
      <w:r>
        <w:rPr>
          <w:bCs/>
          <w:iCs/>
          <w:color w:val="000000" w:themeColor="text1"/>
        </w:rPr>
        <w:t>and option four</w:t>
      </w:r>
      <w:r w:rsidR="000C6169">
        <w:rPr>
          <w:bCs/>
          <w:iCs/>
          <w:color w:val="000000" w:themeColor="text1"/>
        </w:rPr>
        <w:t xml:space="preserve"> (Project D)</w:t>
      </w:r>
      <w:r>
        <w:rPr>
          <w:bCs/>
          <w:iCs/>
          <w:color w:val="000000" w:themeColor="text1"/>
        </w:rPr>
        <w:t>, w</w:t>
      </w:r>
      <w:r w:rsidR="005435FF">
        <w:rPr>
          <w:bCs/>
          <w:iCs/>
          <w:color w:val="000000" w:themeColor="text1"/>
        </w:rPr>
        <w:t>e explain the effects on corporate sectors’ options on this account</w:t>
      </w:r>
      <w:r w:rsidR="00716C93">
        <w:rPr>
          <w:bCs/>
          <w:iCs/>
          <w:color w:val="000000" w:themeColor="text1"/>
        </w:rPr>
        <w:t xml:space="preserve">. </w:t>
      </w:r>
      <w:r w:rsidR="00444AEA">
        <w:rPr>
          <w:bCs/>
          <w:iCs/>
          <w:color w:val="000000" w:themeColor="text1"/>
        </w:rPr>
        <w:t xml:space="preserve">Importantly, we </w:t>
      </w:r>
      <w:r w:rsidR="00ED6845">
        <w:rPr>
          <w:bCs/>
          <w:iCs/>
          <w:color w:val="000000" w:themeColor="text1"/>
        </w:rPr>
        <w:t xml:space="preserve">develop </w:t>
      </w:r>
      <w:r w:rsidR="000E4359">
        <w:rPr>
          <w:bCs/>
        </w:rPr>
        <w:t xml:space="preserve">ROA </w:t>
      </w:r>
      <w:r w:rsidR="000E4359">
        <w:t xml:space="preserve">for </w:t>
      </w:r>
      <w:r w:rsidR="000E4359" w:rsidRPr="00FD2CA7">
        <w:t>organisation</w:t>
      </w:r>
      <w:r w:rsidR="00946392">
        <w:t>s</w:t>
      </w:r>
      <w:r w:rsidR="000E4359" w:rsidRPr="00FD2CA7">
        <w:t xml:space="preserve"> </w:t>
      </w:r>
      <w:r w:rsidR="0055212E">
        <w:rPr>
          <w:bCs/>
        </w:rPr>
        <w:t xml:space="preserve">to </w:t>
      </w:r>
      <w:r w:rsidR="0055212E">
        <w:rPr>
          <w:bCs/>
          <w:iCs/>
          <w:color w:val="000000" w:themeColor="text1"/>
        </w:rPr>
        <w:t>reduce uncertainty</w:t>
      </w:r>
      <w:r w:rsidR="0055212E" w:rsidRPr="00FD2CA7">
        <w:t xml:space="preserve"> </w:t>
      </w:r>
      <w:r w:rsidR="0055212E">
        <w:t xml:space="preserve">and </w:t>
      </w:r>
      <w:r w:rsidR="000E4359" w:rsidRPr="00FD2CA7">
        <w:t xml:space="preserve">adaptation over time </w:t>
      </w:r>
      <w:r w:rsidR="005E631E">
        <w:t xml:space="preserve">to </w:t>
      </w:r>
      <w:r w:rsidR="00E851B2">
        <w:t>ev</w:t>
      </w:r>
      <w:r w:rsidR="000E4359" w:rsidRPr="00FD2CA7">
        <w:t xml:space="preserve">olutionary </w:t>
      </w:r>
      <w:r w:rsidR="000E4359">
        <w:t xml:space="preserve">changes </w:t>
      </w:r>
      <w:r w:rsidR="004F746F">
        <w:t>of</w:t>
      </w:r>
      <w:r w:rsidR="00E851B2">
        <w:t xml:space="preserve"> </w:t>
      </w:r>
      <w:r w:rsidR="004F746F">
        <w:t xml:space="preserve">the </w:t>
      </w:r>
      <w:r w:rsidR="000E4359">
        <w:t>environments</w:t>
      </w:r>
      <w:r w:rsidR="000E4359">
        <w:rPr>
          <w:bCs/>
          <w:iCs/>
          <w:color w:val="000000" w:themeColor="text1"/>
        </w:rPr>
        <w:t>.</w:t>
      </w:r>
      <w:r w:rsidR="00F16F3C">
        <w:rPr>
          <w:bCs/>
          <w:iCs/>
          <w:color w:val="000000" w:themeColor="text1"/>
        </w:rPr>
        <w:t xml:space="preserve"> This is </w:t>
      </w:r>
      <w:r w:rsidR="00AF57D0">
        <w:rPr>
          <w:bCs/>
          <w:iCs/>
          <w:color w:val="000000" w:themeColor="text1"/>
        </w:rPr>
        <w:t>revealed</w:t>
      </w:r>
      <w:r w:rsidR="00F16F3C">
        <w:rPr>
          <w:bCs/>
          <w:iCs/>
          <w:color w:val="000000" w:themeColor="text1"/>
        </w:rPr>
        <w:t xml:space="preserve"> by Project C: compound switch by corporate sector</w:t>
      </w:r>
      <w:r w:rsidR="00D77435">
        <w:rPr>
          <w:bCs/>
          <w:iCs/>
          <w:color w:val="000000" w:themeColor="text1"/>
        </w:rPr>
        <w:t xml:space="preserve">. </w:t>
      </w:r>
      <w:r w:rsidR="00D77435">
        <w:t xml:space="preserve">With respect to the above, from a very positive perspective, we evaluate government deferral option, and its impact on business, the corporate sector. So that, the ROA in a </w:t>
      </w:r>
      <w:r w:rsidR="00D77435" w:rsidRPr="00B8044A">
        <w:t>switch</w:t>
      </w:r>
      <w:r w:rsidR="00D77435">
        <w:t xml:space="preserve">ing option </w:t>
      </w:r>
      <w:r w:rsidR="00D77435" w:rsidRPr="00B8044A">
        <w:t xml:space="preserve">from </w:t>
      </w:r>
      <w:r w:rsidR="00D77435">
        <w:t xml:space="preserve">those planned business </w:t>
      </w:r>
      <w:r w:rsidR="00D77435">
        <w:lastRenderedPageBreak/>
        <w:t>strategies</w:t>
      </w:r>
      <w:r w:rsidR="00D77435" w:rsidRPr="00B8044A">
        <w:t xml:space="preserve"> </w:t>
      </w:r>
      <w:r w:rsidR="00D77435">
        <w:t>or</w:t>
      </w:r>
      <w:r w:rsidR="00D77435" w:rsidRPr="00B8044A">
        <w:t xml:space="preserve"> investment</w:t>
      </w:r>
      <w:r w:rsidR="00D77435">
        <w:t>s</w:t>
      </w:r>
      <w:r w:rsidR="00D77435" w:rsidRPr="00B8044A">
        <w:t xml:space="preserve"> to </w:t>
      </w:r>
      <w:r w:rsidR="00D77435">
        <w:t xml:space="preserve">an </w:t>
      </w:r>
      <w:r w:rsidR="00D77435" w:rsidRPr="00B8044A">
        <w:t>alternative use (specified salvage value)</w:t>
      </w:r>
      <w:r w:rsidR="00D77435">
        <w:t>.</w:t>
      </w:r>
      <w:r w:rsidR="00D77435" w:rsidRPr="00702C0E">
        <w:t xml:space="preserve"> </w:t>
      </w:r>
      <w:r w:rsidR="00D77435">
        <w:t>S</w:t>
      </w:r>
      <w:r w:rsidR="00D77435" w:rsidRPr="00B8044A">
        <w:t>witch</w:t>
      </w:r>
      <w:r w:rsidR="00D77435">
        <w:t>ing options may account for the situation that as COVID-19 unfolded, pharmaceutical companies used existing drugs such as Hydroxychloroquine or Remdesivir to treat virus symptoms (</w:t>
      </w:r>
      <w:proofErr w:type="spellStart"/>
      <w:r w:rsidR="00D77435" w:rsidRPr="00703F8E">
        <w:t>Craighead</w:t>
      </w:r>
      <w:proofErr w:type="spellEnd"/>
      <w:r w:rsidR="00D77435">
        <w:t xml:space="preserve"> </w:t>
      </w:r>
      <w:r w:rsidR="00D77435" w:rsidRPr="004E716F">
        <w:rPr>
          <w:i/>
          <w:iCs/>
        </w:rPr>
        <w:t>et al</w:t>
      </w:r>
      <w:r w:rsidR="00D77435">
        <w:t xml:space="preserve">., 2020), therefore expanding the production of key medical supplies. We also </w:t>
      </w:r>
      <w:r w:rsidR="002F4B97">
        <w:t>consider</w:t>
      </w:r>
      <w:r w:rsidR="00D77435">
        <w:t xml:space="preserve"> the HE sector’s example while many universities switched from physical space to online teaching, Virtual or Ultra rooms, online libraries, blackboards (web-based platform), synchronous and asynchronous teaching and learning. These reflect the concepts of compound exchange in real options. And we titled these in kind as Project </w:t>
      </w:r>
      <w:r w:rsidR="000C6169">
        <w:t>C</w:t>
      </w:r>
      <w:r w:rsidR="00D77435">
        <w:t>, switching options.</w:t>
      </w:r>
      <w:r w:rsidR="00D77435">
        <w:rPr>
          <w:bCs/>
        </w:rPr>
        <w:t xml:space="preserve"> </w:t>
      </w:r>
    </w:p>
    <w:p w14:paraId="580E9BE5" w14:textId="0E2115A9" w:rsidR="00AF57D0" w:rsidRDefault="00D77435" w:rsidP="00D77435">
      <w:pPr>
        <w:spacing w:before="120" w:line="480" w:lineRule="auto"/>
        <w:ind w:firstLine="284"/>
        <w:jc w:val="both"/>
        <w:rPr>
          <w:bCs/>
          <w:iCs/>
          <w:color w:val="000000" w:themeColor="text1"/>
        </w:rPr>
      </w:pPr>
      <w:r>
        <w:rPr>
          <w:bCs/>
          <w:iCs/>
          <w:color w:val="000000" w:themeColor="text1"/>
        </w:rPr>
        <w:t>However, with respect to</w:t>
      </w:r>
      <w:r w:rsidR="00F16F3C">
        <w:rPr>
          <w:bCs/>
          <w:iCs/>
          <w:color w:val="000000" w:themeColor="text1"/>
        </w:rPr>
        <w:t xml:space="preserve"> Project D: compound abundant option by services of the corporate sector</w:t>
      </w:r>
      <w:r>
        <w:rPr>
          <w:bCs/>
          <w:iCs/>
          <w:color w:val="000000" w:themeColor="text1"/>
        </w:rPr>
        <w:t>, we reveal some critical issues and consequent</w:t>
      </w:r>
      <w:r w:rsidR="00C27BFE">
        <w:rPr>
          <w:bCs/>
          <w:iCs/>
          <w:color w:val="000000" w:themeColor="text1"/>
        </w:rPr>
        <w:t>ly,</w:t>
      </w:r>
      <w:r>
        <w:rPr>
          <w:bCs/>
          <w:iCs/>
          <w:color w:val="000000" w:themeColor="text1"/>
        </w:rPr>
        <w:t xml:space="preserve"> negative impact</w:t>
      </w:r>
      <w:r w:rsidR="00F16F3C">
        <w:rPr>
          <w:bCs/>
          <w:iCs/>
          <w:color w:val="000000" w:themeColor="text1"/>
        </w:rPr>
        <w:t xml:space="preserve">. </w:t>
      </w:r>
      <w:r>
        <w:t xml:space="preserve">The COVID -19 pandemic caused unprecedented events and </w:t>
      </w:r>
      <w:r w:rsidR="00923B7B">
        <w:t xml:space="preserve">a </w:t>
      </w:r>
      <w:r>
        <w:t xml:space="preserve">crisis of some businesses. </w:t>
      </w:r>
      <w:r w:rsidR="00AF57D0">
        <w:t xml:space="preserve">Critically, this </w:t>
      </w:r>
      <w:r>
        <w:t xml:space="preserve">would be </w:t>
      </w:r>
      <w:r w:rsidR="00C27BFE">
        <w:t>disadvantageous,</w:t>
      </w:r>
      <w:r>
        <w:t xml:space="preserve"> if organisations abandon their options and </w:t>
      </w:r>
      <w:r w:rsidRPr="00E851B2">
        <w:t>investment</w:t>
      </w:r>
      <w:r>
        <w:t xml:space="preserve"> as indicated in</w:t>
      </w:r>
      <w:r w:rsidRPr="00B8044A">
        <w:t xml:space="preserve"> Figure </w:t>
      </w:r>
      <w:r>
        <w:t>2. Inevitably, costs incurred to maintain supply chains (restaurant and hotel bookings etc), energy bills, maintenance of unused university campus buildings/facilities such as shops, recreation centres, restaurants changed into home dining modes, aircrafts grounded, and airport facilities abandoned or considerably under-utilised.</w:t>
      </w:r>
      <w:r w:rsidR="00AF57D0">
        <w:t xml:space="preserve"> In contrast to the above, </w:t>
      </w:r>
      <w:r>
        <w:t>the abandonment from a positive perspective can be related to preparation and time-to-build for alternative investments such as concerning government sector’ option, develop an arsenal of real options for navigating the associated opportunities</w:t>
      </w:r>
      <w:r w:rsidR="00C27BFE">
        <w:t xml:space="preserve">, </w:t>
      </w:r>
      <w:r>
        <w:rPr>
          <w:bCs/>
          <w:iCs/>
          <w:color w:val="000000" w:themeColor="text1"/>
        </w:rPr>
        <w:t xml:space="preserve">in the light of </w:t>
      </w:r>
      <w:r w:rsidR="006D612D">
        <w:rPr>
          <w:bCs/>
          <w:iCs/>
          <w:color w:val="000000" w:themeColor="text1"/>
        </w:rPr>
        <w:t>our</w:t>
      </w:r>
      <w:r>
        <w:rPr>
          <w:bCs/>
          <w:iCs/>
          <w:color w:val="000000" w:themeColor="text1"/>
        </w:rPr>
        <w:t xml:space="preserve"> proposed ROA. </w:t>
      </w:r>
    </w:p>
    <w:p w14:paraId="3DDA44F1" w14:textId="7E905865" w:rsidR="00262F39" w:rsidRPr="00B8044A" w:rsidRDefault="00262F39" w:rsidP="00AF57D0">
      <w:pPr>
        <w:spacing w:before="120" w:line="480" w:lineRule="auto"/>
        <w:ind w:firstLine="284"/>
        <w:jc w:val="both"/>
      </w:pPr>
    </w:p>
    <w:p w14:paraId="7993A5FE" w14:textId="77777777" w:rsidR="00262F39" w:rsidRDefault="00262F39" w:rsidP="00262F39">
      <w:pPr>
        <w:spacing w:line="480" w:lineRule="auto"/>
        <w:jc w:val="both"/>
      </w:pPr>
      <w:r w:rsidRPr="00223439">
        <w:rPr>
          <w:noProof/>
        </w:rPr>
        <w:lastRenderedPageBreak/>
        <w:drawing>
          <wp:inline distT="0" distB="0" distL="0" distR="0" wp14:anchorId="19F0E5B3" wp14:editId="49A8B88D">
            <wp:extent cx="5514532" cy="2055571"/>
            <wp:effectExtent l="0" t="0" r="0" b="0"/>
            <wp:docPr id="10572" name="Picture 1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3836" cy="2077677"/>
                    </a:xfrm>
                    <a:prstGeom prst="rect">
                      <a:avLst/>
                    </a:prstGeom>
                  </pic:spPr>
                </pic:pic>
              </a:graphicData>
            </a:graphic>
          </wp:inline>
        </w:drawing>
      </w:r>
    </w:p>
    <w:p w14:paraId="3053F650" w14:textId="557F1866" w:rsidR="00262F39" w:rsidRDefault="00262F39" w:rsidP="00262F39">
      <w:pPr>
        <w:spacing w:line="480" w:lineRule="auto"/>
        <w:jc w:val="both"/>
      </w:pPr>
      <w:r w:rsidRPr="00B8044A">
        <w:t xml:space="preserve">Figure </w:t>
      </w:r>
      <w:r>
        <w:t>3</w:t>
      </w:r>
      <w:r w:rsidRPr="00B8044A">
        <w:t xml:space="preserve"> Compound</w:t>
      </w:r>
      <w:r>
        <w:t xml:space="preserve"> Options</w:t>
      </w:r>
      <w:r w:rsidRPr="00B8044A">
        <w:t xml:space="preserve"> for Assumed Opportunities</w:t>
      </w:r>
    </w:p>
    <w:p w14:paraId="3F13AA07" w14:textId="19B98A6E" w:rsidR="00552918" w:rsidRPr="00AE6602" w:rsidRDefault="00AF57D0" w:rsidP="00552918">
      <w:pPr>
        <w:spacing w:before="240" w:line="480" w:lineRule="auto"/>
        <w:ind w:firstLine="284"/>
        <w:jc w:val="both"/>
      </w:pPr>
      <w:r>
        <w:t xml:space="preserve">Thus, </w:t>
      </w:r>
      <w:r w:rsidR="003F0B94">
        <w:t xml:space="preserve">as depicted by Figure </w:t>
      </w:r>
      <w:r w:rsidR="006D612D">
        <w:t>3</w:t>
      </w:r>
      <w:r w:rsidR="003F0B94">
        <w:t xml:space="preserve">, </w:t>
      </w:r>
      <w:r>
        <w:t xml:space="preserve">we use </w:t>
      </w:r>
      <w:r w:rsidR="009014C7" w:rsidRPr="00605F82">
        <w:t>the binomial framework of Cox, Ross, and Rubinstein</w:t>
      </w:r>
      <w:r w:rsidR="009014C7">
        <w:t xml:space="preserve"> </w:t>
      </w:r>
      <w:r w:rsidR="009014C7" w:rsidRPr="00605F82">
        <w:t>(</w:t>
      </w:r>
      <w:r w:rsidR="009014C7">
        <w:t xml:space="preserve">CRR, </w:t>
      </w:r>
      <w:r w:rsidR="009014C7" w:rsidRPr="00605F82">
        <w:t>1979)</w:t>
      </w:r>
      <w:r w:rsidR="009014C7">
        <w:t>,</w:t>
      </w:r>
      <w:r w:rsidR="009014C7" w:rsidRPr="00605F82">
        <w:t xml:space="preserve"> </w:t>
      </w:r>
      <w:r w:rsidR="009014C7">
        <w:t xml:space="preserve">where </w:t>
      </w:r>
      <w:r w:rsidR="000F2605">
        <w:t xml:space="preserve">we provided conceptual values for our estimate in coming up sections. The CRR’s framework </w:t>
      </w:r>
      <w:r w:rsidR="009014C7">
        <w:t xml:space="preserve">has been </w:t>
      </w:r>
      <w:r w:rsidR="009014C7" w:rsidRPr="00605F82">
        <w:t>widely used to value compound/sequential real options</w:t>
      </w:r>
      <w:r w:rsidR="009014C7">
        <w:t xml:space="preserve"> (e.g., </w:t>
      </w:r>
      <w:proofErr w:type="spellStart"/>
      <w:r w:rsidR="009014C7">
        <w:t>Kogut</w:t>
      </w:r>
      <w:proofErr w:type="spellEnd"/>
      <w:r w:rsidR="009014C7">
        <w:t xml:space="preserve"> &amp; </w:t>
      </w:r>
      <w:proofErr w:type="spellStart"/>
      <w:r w:rsidR="009014C7">
        <w:t>Kulatilaka</w:t>
      </w:r>
      <w:proofErr w:type="spellEnd"/>
      <w:r w:rsidR="009014C7">
        <w:t xml:space="preserve">, 2001; Copeland &amp; </w:t>
      </w:r>
      <w:proofErr w:type="spellStart"/>
      <w:r w:rsidR="009014C7">
        <w:t>Tufano</w:t>
      </w:r>
      <w:proofErr w:type="spellEnd"/>
      <w:r w:rsidR="009014C7">
        <w:t>, 2004). To support the above</w:t>
      </w:r>
      <w:r w:rsidR="00562D12">
        <w:t>,</w:t>
      </w:r>
      <w:r w:rsidR="009014C7">
        <w:t xml:space="preserve"> </w:t>
      </w:r>
      <w:r w:rsidR="003F23F4">
        <w:t xml:space="preserve">not different from other </w:t>
      </w:r>
      <w:r w:rsidR="009014C7">
        <w:t>research</w:t>
      </w:r>
      <w:r w:rsidR="003F23F4">
        <w:t>,</w:t>
      </w:r>
      <w:r w:rsidR="009014C7">
        <w:t xml:space="preserve"> </w:t>
      </w:r>
      <w:r w:rsidR="003F23F4">
        <w:t xml:space="preserve">we have </w:t>
      </w:r>
      <w:r w:rsidR="009014C7">
        <w:t xml:space="preserve">also made greater use of </w:t>
      </w:r>
      <w:r w:rsidRPr="00B8044A">
        <w:t>two Brownian motions</w:t>
      </w:r>
      <w:r w:rsidR="009014C7">
        <w:t xml:space="preserve">. In our model evaluations of ROA, we demonstrate how they </w:t>
      </w:r>
      <w:r w:rsidRPr="00B8044A">
        <w:t xml:space="preserve">are correlated </w:t>
      </w:r>
      <w:r>
        <w:t xml:space="preserve">and </w:t>
      </w:r>
      <w:r w:rsidRPr="00B8044A">
        <w:t xml:space="preserve">thus influence the movements for both assets. </w:t>
      </w:r>
      <w:r w:rsidR="00552918">
        <w:t xml:space="preserve">To </w:t>
      </w:r>
      <w:r w:rsidRPr="00B8044A">
        <w:t>provide some expected values through the compound options</w:t>
      </w:r>
      <w:r w:rsidR="00552918">
        <w:t>,</w:t>
      </w:r>
      <w:r w:rsidRPr="00B8044A">
        <w:t xml:space="preserve"> </w:t>
      </w:r>
      <w:r w:rsidR="000C6169">
        <w:t>we</w:t>
      </w:r>
      <w:r w:rsidR="00552918">
        <w:t xml:space="preserve"> </w:t>
      </w:r>
      <w:r>
        <w:t xml:space="preserve">also consider </w:t>
      </w:r>
      <w:proofErr w:type="spellStart"/>
      <w:r w:rsidRPr="00B8044A">
        <w:t>Carr</w:t>
      </w:r>
      <w:r w:rsidR="00552918">
        <w:t>’s</w:t>
      </w:r>
      <w:proofErr w:type="spellEnd"/>
      <w:r w:rsidRPr="00B8044A">
        <w:t xml:space="preserve"> (1988, 1995) </w:t>
      </w:r>
      <w:r w:rsidR="006D612D">
        <w:t>as</w:t>
      </w:r>
      <w:r w:rsidR="00552918">
        <w:t xml:space="preserve"> </w:t>
      </w:r>
      <w:r w:rsidR="006D612D">
        <w:t>c</w:t>
      </w:r>
      <w:r w:rsidRPr="00B8044A">
        <w:t>ombin</w:t>
      </w:r>
      <w:r w:rsidR="00552918">
        <w:t xml:space="preserve">ed </w:t>
      </w:r>
      <w:r w:rsidRPr="00B8044A">
        <w:t>elements of compound options</w:t>
      </w:r>
      <w:r w:rsidR="00470799">
        <w:t>, both</w:t>
      </w:r>
      <w:r w:rsidRPr="00B8044A">
        <w:t xml:space="preserve"> expand and defer</w:t>
      </w:r>
      <w:r w:rsidR="00470799">
        <w:t xml:space="preserve">. </w:t>
      </w:r>
      <w:r>
        <w:rPr>
          <w:bCs/>
          <w:iCs/>
          <w:color w:val="000000" w:themeColor="text1"/>
        </w:rPr>
        <w:t xml:space="preserve">The essential points derived from our ROA are </w:t>
      </w:r>
      <w:r>
        <w:t>the time-to-build (Figure 2) options</w:t>
      </w:r>
      <w:r w:rsidR="003F23F4">
        <w:t>,</w:t>
      </w:r>
      <w:r>
        <w:t xml:space="preserve"> suggest</w:t>
      </w:r>
      <w:r w:rsidR="003F23F4">
        <w:t>ing</w:t>
      </w:r>
      <w:r>
        <w:t xml:space="preserve"> that deferral and abandon are</w:t>
      </w:r>
      <w:r w:rsidRPr="00B8044A">
        <w:t xml:space="preserve"> an inseparable package with </w:t>
      </w:r>
      <w:r>
        <w:t xml:space="preserve">a set of </w:t>
      </w:r>
      <w:r w:rsidRPr="00B8044A">
        <w:t>underlying asset</w:t>
      </w:r>
      <w:r>
        <w:t xml:space="preserve">s, and the options </w:t>
      </w:r>
      <w:r w:rsidRPr="00B8044A">
        <w:t>are embedded in the same asset</w:t>
      </w:r>
      <w:r>
        <w:t>.</w:t>
      </w:r>
      <w:r w:rsidRPr="00B8044A">
        <w:t xml:space="preserve"> </w:t>
      </w:r>
      <w:r>
        <w:t xml:space="preserve">Our ROA suggests </w:t>
      </w:r>
      <w:r w:rsidR="003F23F4">
        <w:t xml:space="preserve">even </w:t>
      </w:r>
      <w:r>
        <w:t xml:space="preserve">if the source of the uncertainty is a lack of information, this option may </w:t>
      </w:r>
      <w:r w:rsidR="003F23F4">
        <w:t xml:space="preserve">be still more </w:t>
      </w:r>
      <w:r>
        <w:t>valuable</w:t>
      </w:r>
      <w:r w:rsidR="003F23F4">
        <w:t xml:space="preserve"> than abandonment</w:t>
      </w:r>
      <w:r w:rsidR="00E96B75">
        <w:t>. Otherwise, t</w:t>
      </w:r>
      <w:r>
        <w:t xml:space="preserve">he ability to suspend investment before spending the total investment expenditures reduces the irreversibility of the whole investment project. </w:t>
      </w:r>
    </w:p>
    <w:p w14:paraId="571397F2" w14:textId="26489FDB" w:rsidR="000C6169" w:rsidRDefault="00AF57D0" w:rsidP="000C6169">
      <w:pPr>
        <w:spacing w:before="240" w:line="480" w:lineRule="auto"/>
        <w:ind w:firstLine="284"/>
        <w:jc w:val="both"/>
      </w:pPr>
      <w:r>
        <w:t>Our argument</w:t>
      </w:r>
      <w:r w:rsidR="00470799">
        <w:t xml:space="preserve">s find support from </w:t>
      </w:r>
      <w:r w:rsidR="003F0B94">
        <w:t xml:space="preserve">prior work. For instance, </w:t>
      </w:r>
      <w:proofErr w:type="spellStart"/>
      <w:r>
        <w:t>Friedl</w:t>
      </w:r>
      <w:proofErr w:type="spellEnd"/>
      <w:r>
        <w:t xml:space="preserve"> (2002) believes that more reversible investment decisions may be undone, and therefore investment will take place sooner; however, if conditions change, the firm can react to the new situation by changing the </w:t>
      </w:r>
      <w:r>
        <w:lastRenderedPageBreak/>
        <w:t xml:space="preserve">cash flow pattern. Although the invested capital cannot be recovered, a firm can reduce the planned investment expenditures by stopping an unfavourable project, thus the firm avoids the remaining investment outlays. </w:t>
      </w:r>
      <w:proofErr w:type="spellStart"/>
      <w:r>
        <w:t>Friedl</w:t>
      </w:r>
      <w:proofErr w:type="spellEnd"/>
      <w:r>
        <w:t xml:space="preserve"> (2002) </w:t>
      </w:r>
      <w:r w:rsidR="003F0B94">
        <w:t xml:space="preserve">and </w:t>
      </w:r>
      <w:proofErr w:type="spellStart"/>
      <w:r w:rsidR="003F0B94" w:rsidRPr="00B8044A">
        <w:t>Margrabe</w:t>
      </w:r>
      <w:proofErr w:type="spellEnd"/>
      <w:r w:rsidR="003F0B94" w:rsidRPr="00B8044A">
        <w:t xml:space="preserve"> </w:t>
      </w:r>
      <w:r w:rsidR="003F0B94">
        <w:t xml:space="preserve">(1978) </w:t>
      </w:r>
      <w:r>
        <w:t xml:space="preserve">suggest that the decision to suspend or abandon a project is often very unpopular, and management seems to avoid such decisions. If management has the option to suspend, management should invest in a higher number of projects and monitor the value drivers of each project more carefully during the life of their projects. </w:t>
      </w:r>
      <w:r w:rsidR="00470799">
        <w:t xml:space="preserve">We demonstrate how and why some projects (ROA) </w:t>
      </w:r>
      <w:r w:rsidR="00923B7B">
        <w:t xml:space="preserve">are </w:t>
      </w:r>
      <w:r w:rsidR="00470799">
        <w:t xml:space="preserve">more feasible than others. </w:t>
      </w:r>
      <w:r w:rsidR="00552918">
        <w:t>In what follow</w:t>
      </w:r>
      <w:r w:rsidR="00923B7B">
        <w:t>s</w:t>
      </w:r>
      <w:r w:rsidR="00552918">
        <w:t xml:space="preserve">, we </w:t>
      </w:r>
      <w:r w:rsidR="00E96B75">
        <w:t xml:space="preserve">bring up </w:t>
      </w:r>
      <w:r w:rsidR="00552918">
        <w:t>the ROA modelling evaluations of the four projects and methodological approaches.</w:t>
      </w:r>
    </w:p>
    <w:p w14:paraId="3E6EDE33" w14:textId="77777777" w:rsidR="00D44EBD" w:rsidRDefault="00D44EBD" w:rsidP="00D44EBD">
      <w:pPr>
        <w:keepNext/>
        <w:spacing w:before="120" w:line="480" w:lineRule="auto"/>
        <w:jc w:val="both"/>
        <w:outlineLvl w:val="2"/>
        <w:rPr>
          <w:b/>
          <w:iCs/>
        </w:rPr>
      </w:pPr>
      <w:bookmarkStart w:id="1" w:name="_Toc182909445"/>
      <w:bookmarkStart w:id="2" w:name="_Toc182975581"/>
      <w:bookmarkStart w:id="3" w:name="_Toc196931608"/>
    </w:p>
    <w:p w14:paraId="516B103F" w14:textId="6581C4FC" w:rsidR="00526C1A" w:rsidRPr="00D44EBD" w:rsidRDefault="00F55F86" w:rsidP="00D44EBD">
      <w:pPr>
        <w:keepNext/>
        <w:spacing w:before="120" w:line="480" w:lineRule="auto"/>
        <w:jc w:val="both"/>
        <w:outlineLvl w:val="2"/>
        <w:rPr>
          <w:b/>
          <w:iCs/>
        </w:rPr>
      </w:pPr>
      <w:r w:rsidRPr="00D44EBD">
        <w:rPr>
          <w:b/>
          <w:iCs/>
        </w:rPr>
        <w:t>Modelling m</w:t>
      </w:r>
      <w:r w:rsidR="00526C1A" w:rsidRPr="00D44EBD">
        <w:rPr>
          <w:b/>
          <w:iCs/>
        </w:rPr>
        <w:t>ethods and simulation</w:t>
      </w:r>
      <w:r w:rsidR="00BF0279" w:rsidRPr="00D44EBD">
        <w:rPr>
          <w:b/>
          <w:iCs/>
        </w:rPr>
        <w:t xml:space="preserve"> processes</w:t>
      </w:r>
    </w:p>
    <w:p w14:paraId="2F9CF611" w14:textId="4B295585" w:rsidR="00526C1A" w:rsidRPr="002A6C2C" w:rsidRDefault="002A6C2C" w:rsidP="00D44EBD">
      <w:pPr>
        <w:spacing w:after="120" w:line="480" w:lineRule="auto"/>
        <w:jc w:val="both"/>
        <w:rPr>
          <w:bCs/>
        </w:rPr>
      </w:pPr>
      <w:r w:rsidRPr="00AE6602">
        <w:t>Our methods generally</w:t>
      </w:r>
      <w:r>
        <w:rPr>
          <w:b/>
          <w:bCs/>
        </w:rPr>
        <w:t xml:space="preserve"> </w:t>
      </w:r>
      <w:r>
        <w:t xml:space="preserve">involved a </w:t>
      </w:r>
      <w:r w:rsidRPr="0048389A">
        <w:rPr>
          <w:bCs/>
        </w:rPr>
        <w:t xml:space="preserve">stochastic </w:t>
      </w:r>
      <w:r>
        <w:rPr>
          <w:bCs/>
        </w:rPr>
        <w:t>modelling</w:t>
      </w:r>
      <w:r w:rsidRPr="002F3F8B">
        <w:rPr>
          <w:bCs/>
        </w:rPr>
        <w:t xml:space="preserve"> </w:t>
      </w:r>
      <w:r>
        <w:rPr>
          <w:bCs/>
        </w:rPr>
        <w:t>process in generating a set of option values,</w:t>
      </w:r>
      <w:r w:rsidRPr="00A65A31">
        <w:rPr>
          <w:bCs/>
        </w:rPr>
        <w:t xml:space="preserve"> </w:t>
      </w:r>
      <w:r>
        <w:rPr>
          <w:bCs/>
        </w:rPr>
        <w:t xml:space="preserve">utilising </w:t>
      </w:r>
      <w:r>
        <w:t xml:space="preserve">available </w:t>
      </w:r>
      <w:r>
        <w:rPr>
          <w:bCs/>
        </w:rPr>
        <w:t>data and scenarios</w:t>
      </w:r>
      <w:r>
        <w:t xml:space="preserve"> from </w:t>
      </w:r>
      <w:r>
        <w:rPr>
          <w:bCs/>
        </w:rPr>
        <w:t>the COVID</w:t>
      </w:r>
      <w:r w:rsidRPr="0048389A">
        <w:rPr>
          <w:bCs/>
        </w:rPr>
        <w:t>-</w:t>
      </w:r>
      <w:r w:rsidRPr="0075694A">
        <w:t xml:space="preserve"> </w:t>
      </w:r>
      <w:r w:rsidRPr="0048389A">
        <w:rPr>
          <w:bCs/>
        </w:rPr>
        <w:t>19 pandemic</w:t>
      </w:r>
      <w:r>
        <w:rPr>
          <w:bCs/>
        </w:rPr>
        <w:t xml:space="preserve"> event. The modelling and simulations in using ROA suggest how </w:t>
      </w:r>
      <w:r w:rsidRPr="0048389A">
        <w:rPr>
          <w:bCs/>
        </w:rPr>
        <w:t>strateg</w:t>
      </w:r>
      <w:r>
        <w:rPr>
          <w:bCs/>
        </w:rPr>
        <w:t xml:space="preserve">ic </w:t>
      </w:r>
      <w:r w:rsidRPr="0048389A">
        <w:rPr>
          <w:bCs/>
        </w:rPr>
        <w:t>portfolio</w:t>
      </w:r>
      <w:r>
        <w:rPr>
          <w:bCs/>
        </w:rPr>
        <w:t>s re</w:t>
      </w:r>
      <w:r w:rsidRPr="0048389A">
        <w:rPr>
          <w:bCs/>
        </w:rPr>
        <w:t xml:space="preserve">solve the </w:t>
      </w:r>
      <w:r>
        <w:rPr>
          <w:bCs/>
        </w:rPr>
        <w:t>growing</w:t>
      </w:r>
      <w:r w:rsidRPr="000665A8">
        <w:rPr>
          <w:bCs/>
        </w:rPr>
        <w:t xml:space="preserve"> </w:t>
      </w:r>
      <w:r w:rsidRPr="0048389A">
        <w:rPr>
          <w:bCs/>
        </w:rPr>
        <w:t>problem</w:t>
      </w:r>
      <w:r>
        <w:rPr>
          <w:bCs/>
        </w:rPr>
        <w:t xml:space="preserve"> during the endemic to all but in the most isolated societies.</w:t>
      </w:r>
      <w:r w:rsidRPr="00465725">
        <w:rPr>
          <w:bCs/>
        </w:rPr>
        <w:t xml:space="preserve"> </w:t>
      </w:r>
      <w:r>
        <w:rPr>
          <w:bCs/>
          <w:iCs/>
          <w:color w:val="000000" w:themeColor="text1"/>
        </w:rPr>
        <w:t xml:space="preserve">We </w:t>
      </w:r>
      <w:r w:rsidR="00526C1A">
        <w:rPr>
          <w:bCs/>
          <w:iCs/>
          <w:color w:val="000000" w:themeColor="text1"/>
        </w:rPr>
        <w:t>follow</w:t>
      </w:r>
      <w:r w:rsidR="000C6169">
        <w:rPr>
          <w:bCs/>
          <w:iCs/>
          <w:color w:val="000000" w:themeColor="text1"/>
        </w:rPr>
        <w:t>ed</w:t>
      </w:r>
      <w:r w:rsidR="00526C1A">
        <w:rPr>
          <w:bCs/>
          <w:iCs/>
          <w:color w:val="000000" w:themeColor="text1"/>
        </w:rPr>
        <w:t xml:space="preserve"> </w:t>
      </w:r>
      <w:r w:rsidR="00526C1A" w:rsidRPr="00B8044A">
        <w:t>a standard Wiener process</w:t>
      </w:r>
      <w:r w:rsidR="00526C1A">
        <w:t xml:space="preserve"> (</w:t>
      </w:r>
      <w:r w:rsidR="00073251">
        <w:t>i.e.,</w:t>
      </w:r>
      <w:r w:rsidR="00526C1A">
        <w:t xml:space="preserve"> </w:t>
      </w:r>
      <w:r w:rsidR="00526C1A" w:rsidRPr="00EE4F5E">
        <w:t>a real</w:t>
      </w:r>
      <w:r w:rsidR="00526C1A">
        <w:t>-</w:t>
      </w:r>
      <w:r w:rsidR="00526C1A" w:rsidRPr="00EE4F5E">
        <w:t>valued continuous-time stochastic process named in honour of American mathematician Norbert Wiener</w:t>
      </w:r>
      <w:r w:rsidR="00526C1A">
        <w:t xml:space="preserve">), </w:t>
      </w:r>
      <w:r w:rsidR="00526C1A">
        <w:rPr>
          <w:bCs/>
          <w:iCs/>
          <w:color w:val="000000" w:themeColor="text1"/>
        </w:rPr>
        <w:t xml:space="preserve">building on </w:t>
      </w:r>
      <w:proofErr w:type="spellStart"/>
      <w:r w:rsidR="00526C1A" w:rsidRPr="00800BDD">
        <w:rPr>
          <w:bCs/>
          <w:color w:val="000000" w:themeColor="text1"/>
        </w:rPr>
        <w:t>Trigeorgis</w:t>
      </w:r>
      <w:proofErr w:type="spellEnd"/>
      <w:r w:rsidR="00526C1A" w:rsidRPr="00800BDD">
        <w:rPr>
          <w:bCs/>
          <w:color w:val="000000" w:themeColor="text1"/>
        </w:rPr>
        <w:t xml:space="preserve"> </w:t>
      </w:r>
      <w:r w:rsidR="00526C1A">
        <w:rPr>
          <w:bCs/>
          <w:color w:val="000000" w:themeColor="text1"/>
        </w:rPr>
        <w:t xml:space="preserve">(1996), </w:t>
      </w:r>
      <w:proofErr w:type="spellStart"/>
      <w:r w:rsidR="00526C1A" w:rsidRPr="00800BDD">
        <w:rPr>
          <w:bCs/>
          <w:color w:val="000000" w:themeColor="text1"/>
        </w:rPr>
        <w:t>Trigeorgis</w:t>
      </w:r>
      <w:proofErr w:type="spellEnd"/>
      <w:r w:rsidR="00526C1A" w:rsidRPr="00800BDD">
        <w:rPr>
          <w:bCs/>
          <w:color w:val="000000" w:themeColor="text1"/>
        </w:rPr>
        <w:t xml:space="preserve"> and </w:t>
      </w:r>
      <w:proofErr w:type="spellStart"/>
      <w:r w:rsidR="00526C1A" w:rsidRPr="00800BDD">
        <w:rPr>
          <w:bCs/>
          <w:color w:val="000000" w:themeColor="text1"/>
        </w:rPr>
        <w:t>Reuer</w:t>
      </w:r>
      <w:proofErr w:type="spellEnd"/>
      <w:r w:rsidR="00526C1A">
        <w:rPr>
          <w:bCs/>
          <w:color w:val="000000" w:themeColor="text1"/>
        </w:rPr>
        <w:t xml:space="preserve"> (2017). Our ROA also considers recent studies (</w:t>
      </w:r>
      <w:proofErr w:type="spellStart"/>
      <w:r w:rsidR="00526C1A" w:rsidRPr="005D3818">
        <w:rPr>
          <w:bCs/>
        </w:rPr>
        <w:t>Chakhovich</w:t>
      </w:r>
      <w:proofErr w:type="spellEnd"/>
      <w:r w:rsidR="00526C1A" w:rsidRPr="005D3818">
        <w:rPr>
          <w:bCs/>
        </w:rPr>
        <w:t xml:space="preserve"> </w:t>
      </w:r>
      <w:r w:rsidR="00526C1A">
        <w:rPr>
          <w:bCs/>
        </w:rPr>
        <w:t>and</w:t>
      </w:r>
      <w:r w:rsidR="00526C1A" w:rsidRPr="005D3818">
        <w:rPr>
          <w:bCs/>
        </w:rPr>
        <w:t xml:space="preserve"> </w:t>
      </w:r>
      <w:proofErr w:type="spellStart"/>
      <w:r w:rsidR="00526C1A" w:rsidRPr="005D3818">
        <w:rPr>
          <w:bCs/>
        </w:rPr>
        <w:t>Marttila</w:t>
      </w:r>
      <w:proofErr w:type="spellEnd"/>
      <w:r w:rsidR="00526C1A">
        <w:rPr>
          <w:bCs/>
        </w:rPr>
        <w:t>,</w:t>
      </w:r>
      <w:r w:rsidR="00526C1A" w:rsidRPr="005D3818">
        <w:rPr>
          <w:bCs/>
        </w:rPr>
        <w:t xml:space="preserve"> 2020</w:t>
      </w:r>
      <w:r w:rsidR="00526C1A">
        <w:rPr>
          <w:bCs/>
        </w:rPr>
        <w:t xml:space="preserve">; </w:t>
      </w:r>
      <w:proofErr w:type="spellStart"/>
      <w:r w:rsidR="00526C1A" w:rsidRPr="00087D96">
        <w:rPr>
          <w:bCs/>
        </w:rPr>
        <w:t>Craighead</w:t>
      </w:r>
      <w:proofErr w:type="spellEnd"/>
      <w:r w:rsidR="00526C1A" w:rsidRPr="00087D96">
        <w:rPr>
          <w:bCs/>
        </w:rPr>
        <w:t xml:space="preserve">, </w:t>
      </w:r>
      <w:proofErr w:type="spellStart"/>
      <w:r w:rsidR="00526C1A" w:rsidRPr="00087D96">
        <w:rPr>
          <w:bCs/>
        </w:rPr>
        <w:t>Ketchen</w:t>
      </w:r>
      <w:proofErr w:type="spellEnd"/>
      <w:r w:rsidR="00526C1A" w:rsidRPr="00087D96">
        <w:rPr>
          <w:bCs/>
        </w:rPr>
        <w:t>, and Darby</w:t>
      </w:r>
      <w:r w:rsidR="00526C1A">
        <w:rPr>
          <w:bCs/>
        </w:rPr>
        <w:t>,</w:t>
      </w:r>
      <w:r w:rsidR="00526C1A" w:rsidRPr="00087D96">
        <w:rPr>
          <w:bCs/>
        </w:rPr>
        <w:t xml:space="preserve"> 2020</w:t>
      </w:r>
      <w:r w:rsidR="00526C1A">
        <w:rPr>
          <w:bCs/>
        </w:rPr>
        <w:t xml:space="preserve">; </w:t>
      </w:r>
      <w:proofErr w:type="spellStart"/>
      <w:r w:rsidR="00526C1A" w:rsidRPr="00641042">
        <w:rPr>
          <w:color w:val="000000" w:themeColor="text1"/>
        </w:rPr>
        <w:t>Harikae</w:t>
      </w:r>
      <w:proofErr w:type="spellEnd"/>
      <w:r w:rsidR="00526C1A" w:rsidRPr="00641042">
        <w:rPr>
          <w:color w:val="000000" w:themeColor="text1"/>
        </w:rPr>
        <w:t xml:space="preserve"> </w:t>
      </w:r>
      <w:r w:rsidR="00526C1A" w:rsidRPr="00A8003F">
        <w:rPr>
          <w:i/>
          <w:iCs/>
          <w:color w:val="000000" w:themeColor="text1"/>
        </w:rPr>
        <w:t>et al</w:t>
      </w:r>
      <w:r w:rsidR="00526C1A" w:rsidRPr="00641042">
        <w:rPr>
          <w:color w:val="000000" w:themeColor="text1"/>
        </w:rPr>
        <w:t>., 2020</w:t>
      </w:r>
      <w:r w:rsidR="00526C1A">
        <w:rPr>
          <w:color w:val="000000" w:themeColor="text1"/>
        </w:rPr>
        <w:t xml:space="preserve">). </w:t>
      </w:r>
      <w:r w:rsidR="00552918">
        <w:t xml:space="preserve">To </w:t>
      </w:r>
      <w:r w:rsidR="00552918" w:rsidRPr="00B8044A">
        <w:t xml:space="preserve">explore the opportunity to invest in a project using </w:t>
      </w:r>
      <w:proofErr w:type="spellStart"/>
      <w:r w:rsidR="00552918" w:rsidRPr="00B8044A">
        <w:t>Margrabe</w:t>
      </w:r>
      <w:r w:rsidR="00552918">
        <w:t>’s</w:t>
      </w:r>
      <w:proofErr w:type="spellEnd"/>
      <w:r w:rsidR="00552918" w:rsidRPr="00B8044A">
        <w:t xml:space="preserve"> </w:t>
      </w:r>
      <w:r w:rsidR="00552918">
        <w:t xml:space="preserve">(1978) </w:t>
      </w:r>
      <w:r w:rsidR="00552918" w:rsidRPr="00B8044A">
        <w:t>call option on the value of the project future cash flows (</w:t>
      </w:r>
      <w:r w:rsidR="00552918" w:rsidRPr="00F05372">
        <w:rPr>
          <w:i/>
          <w:iCs/>
        </w:rPr>
        <w:t>P</w:t>
      </w:r>
      <w:r w:rsidR="00552918" w:rsidRPr="00B8044A">
        <w:t>) with the exercise price equal to the required investment (</w:t>
      </w:r>
      <w:r w:rsidR="00552918" w:rsidRPr="00F05372">
        <w:rPr>
          <w:i/>
          <w:iCs/>
        </w:rPr>
        <w:t>K</w:t>
      </w:r>
      <w:r w:rsidR="00552918" w:rsidRPr="00B8044A">
        <w:t xml:space="preserve">). </w:t>
      </w:r>
      <w:r>
        <w:t xml:space="preserve">For instance, </w:t>
      </w:r>
      <w:proofErr w:type="spellStart"/>
      <w:r w:rsidR="00552918" w:rsidRPr="00B8044A">
        <w:t>Margrabe</w:t>
      </w:r>
      <w:proofErr w:type="spellEnd"/>
      <w:r w:rsidR="00552918" w:rsidRPr="00B8044A">
        <w:t xml:space="preserve"> describes the evolution of the underlying asset (i.e., </w:t>
      </w:r>
      <w:r w:rsidR="00552918" w:rsidRPr="00F05372">
        <w:rPr>
          <w:i/>
          <w:iCs/>
        </w:rPr>
        <w:t>P</w:t>
      </w:r>
      <w:r w:rsidR="00552918" w:rsidRPr="00B8044A">
        <w:t xml:space="preserve"> and </w:t>
      </w:r>
      <w:r w:rsidR="00552918" w:rsidRPr="00F05372">
        <w:rPr>
          <w:i/>
          <w:iCs/>
        </w:rPr>
        <w:t>K</w:t>
      </w:r>
      <w:r w:rsidR="00552918" w:rsidRPr="00B8044A">
        <w:t>) returns by the following stochastic differential equations:</w:t>
      </w:r>
      <w:r w:rsidR="00552918">
        <w:t xml:space="preserve"> </w:t>
      </w:r>
      <w:r w:rsidR="00526C1A">
        <w:t xml:space="preserve">We </w:t>
      </w:r>
      <w:r w:rsidR="00526C1A" w:rsidRPr="00FD2CA7">
        <w:t xml:space="preserve">employ </w:t>
      </w:r>
      <w:r w:rsidR="00526C1A">
        <w:t>simulation modelling and empirical investigations while considering current debates and relevant data sets</w:t>
      </w:r>
      <w:r w:rsidR="00526C1A" w:rsidRPr="00FD2CA7">
        <w:t>.</w:t>
      </w:r>
      <w:r>
        <w:t xml:space="preserve"> We</w:t>
      </w:r>
      <w:r w:rsidR="00FF1B03">
        <w:t>,</w:t>
      </w:r>
      <w:r>
        <w:t xml:space="preserve"> </w:t>
      </w:r>
      <w:r w:rsidR="00FF1B03">
        <w:t xml:space="preserve">therefore, </w:t>
      </w:r>
      <w:r>
        <w:t>bring up</w:t>
      </w:r>
      <w:r w:rsidR="00AB3DBB">
        <w:t xml:space="preserve"> a</w:t>
      </w:r>
      <w:r w:rsidR="00FF1B03" w:rsidRPr="00FD2CA7">
        <w:t xml:space="preserve"> tentative </w:t>
      </w:r>
      <w:r w:rsidR="00FF1B03" w:rsidRPr="00FD2CA7">
        <w:lastRenderedPageBreak/>
        <w:t>understanding</w:t>
      </w:r>
      <w:r w:rsidR="00FF1B03">
        <w:t>, and i</w:t>
      </w:r>
      <w:r w:rsidR="00562D12">
        <w:t>mportantly</w:t>
      </w:r>
      <w:r>
        <w:t xml:space="preserve">, </w:t>
      </w:r>
      <w:r w:rsidR="00526C1A" w:rsidRPr="00FD2CA7">
        <w:t xml:space="preserve">offer </w:t>
      </w:r>
      <w:r w:rsidR="00FF1B03">
        <w:t xml:space="preserve">potential solutions </w:t>
      </w:r>
      <w:r w:rsidR="00526C1A" w:rsidRPr="00FD2CA7">
        <w:t xml:space="preserve">by exerting a proxy that has not hitherto been recognised by research in the immediate </w:t>
      </w:r>
      <w:r w:rsidR="00526C1A">
        <w:t xml:space="preserve">aftermath </w:t>
      </w:r>
      <w:r w:rsidR="00526C1A" w:rsidRPr="00FD2CA7">
        <w:t xml:space="preserve">of the </w:t>
      </w:r>
      <w:r w:rsidR="00526C1A">
        <w:t>COVID</w:t>
      </w:r>
      <w:r w:rsidR="00526C1A" w:rsidRPr="00FD2CA7">
        <w:t xml:space="preserve">-19 </w:t>
      </w:r>
      <w:r w:rsidR="00526C1A">
        <w:t>P</w:t>
      </w:r>
      <w:r w:rsidR="00526C1A" w:rsidRPr="00FD2CA7">
        <w:t>andemic.</w:t>
      </w:r>
      <w:r w:rsidR="00526C1A">
        <w:t xml:space="preserve"> </w:t>
      </w:r>
    </w:p>
    <w:p w14:paraId="0DF82842" w14:textId="425BF1B2" w:rsidR="00B8044A" w:rsidRPr="008B234C" w:rsidRDefault="00B8044A" w:rsidP="009D468A">
      <w:pPr>
        <w:keepNext/>
        <w:spacing w:before="120" w:line="480" w:lineRule="auto"/>
        <w:jc w:val="both"/>
        <w:outlineLvl w:val="2"/>
        <w:rPr>
          <w:bCs/>
          <w:i/>
        </w:rPr>
      </w:pPr>
      <w:r w:rsidRPr="008B234C">
        <w:rPr>
          <w:bCs/>
          <w:i/>
        </w:rPr>
        <w:t xml:space="preserve">The </w:t>
      </w:r>
      <w:r w:rsidR="00E748DA" w:rsidRPr="008B234C">
        <w:rPr>
          <w:bCs/>
          <w:i/>
        </w:rPr>
        <w:t>o</w:t>
      </w:r>
      <w:r w:rsidRPr="008B234C">
        <w:rPr>
          <w:bCs/>
          <w:i/>
        </w:rPr>
        <w:t xml:space="preserve">ption to </w:t>
      </w:r>
      <w:r w:rsidR="00E748DA" w:rsidRPr="008B234C">
        <w:rPr>
          <w:bCs/>
          <w:i/>
        </w:rPr>
        <w:t>d</w:t>
      </w:r>
      <w:r w:rsidRPr="008B234C">
        <w:rPr>
          <w:bCs/>
          <w:i/>
        </w:rPr>
        <w:t>efer</w:t>
      </w:r>
      <w:bookmarkEnd w:id="1"/>
      <w:bookmarkEnd w:id="2"/>
      <w:bookmarkEnd w:id="3"/>
    </w:p>
    <w:p w14:paraId="042D2214" w14:textId="0BC2BBAB" w:rsidR="00502867" w:rsidRDefault="002A6C2C" w:rsidP="000669BA">
      <w:pPr>
        <w:pStyle w:val="NormalWeb"/>
        <w:spacing w:before="120" w:beforeAutospacing="0" w:after="0" w:afterAutospacing="0" w:line="480" w:lineRule="auto"/>
        <w:jc w:val="both"/>
      </w:pPr>
      <w:r>
        <w:rPr>
          <w:bCs/>
        </w:rPr>
        <w:t xml:space="preserve">To accommodate the </w:t>
      </w:r>
      <w:r w:rsidR="00C714A6">
        <w:rPr>
          <w:bCs/>
        </w:rPr>
        <w:t>government</w:t>
      </w:r>
      <w:r>
        <w:rPr>
          <w:bCs/>
        </w:rPr>
        <w:t xml:space="preserve"> sector option, we start with the explanation and evaluation the </w:t>
      </w:r>
      <w:r w:rsidR="006B1F21">
        <w:t>deferral (Project A)</w:t>
      </w:r>
      <w:r>
        <w:t xml:space="preserve"> option.</w:t>
      </w:r>
      <w:r w:rsidR="006B1F21">
        <w:t xml:space="preserve"> </w:t>
      </w:r>
      <w:r>
        <w:t xml:space="preserve">This </w:t>
      </w:r>
      <w:r w:rsidR="006B1F21">
        <w:t xml:space="preserve">has an </w:t>
      </w:r>
      <w:r w:rsidR="00E851B2">
        <w:t xml:space="preserve">attempt to minimise the detrimental effects on the </w:t>
      </w:r>
      <w:r w:rsidR="006B1F21">
        <w:t xml:space="preserve">future </w:t>
      </w:r>
      <w:r w:rsidR="00E851B2">
        <w:t>economy</w:t>
      </w:r>
      <w:r w:rsidR="009A3B79">
        <w:t xml:space="preserve"> while </w:t>
      </w:r>
      <w:r w:rsidR="007A3936" w:rsidRPr="0087192F">
        <w:t>option to defer (an American call option) exercises on the necessary investment outlay</w:t>
      </w:r>
      <w:r w:rsidR="007A3936" w:rsidRPr="00D076D4">
        <w:t xml:space="preserve"> </w:t>
      </w:r>
      <w:r w:rsidR="007A3936">
        <w:t xml:space="preserve">(potential </w:t>
      </w:r>
      <w:r w:rsidR="007A3936" w:rsidRPr="0087192F">
        <w:t>value</w:t>
      </w:r>
      <w:r w:rsidR="00555425">
        <w:t>s</w:t>
      </w:r>
      <w:r w:rsidR="007A3936">
        <w:t xml:space="preserve">). </w:t>
      </w:r>
      <w:r w:rsidR="00E851B2">
        <w:t xml:space="preserve">It is assumed </w:t>
      </w:r>
      <w:r w:rsidR="006A47D3">
        <w:t>the P</w:t>
      </w:r>
      <w:r w:rsidR="00E851B2">
        <w:t xml:space="preserve">roject </w:t>
      </w:r>
      <w:r w:rsidR="006A47D3">
        <w:t xml:space="preserve">A </w:t>
      </w:r>
      <w:r w:rsidR="00E851B2">
        <w:t>value</w:t>
      </w:r>
      <w:r w:rsidR="006A47D3">
        <w:t xml:space="preserve">, </w:t>
      </w:r>
      <w:r w:rsidR="006A47D3" w:rsidRPr="006A47D3">
        <w:rPr>
          <w:i/>
          <w:iCs/>
        </w:rPr>
        <w:t>V</w:t>
      </w:r>
      <w:r w:rsidR="006A47D3">
        <w:t xml:space="preserve">, </w:t>
      </w:r>
      <w:r w:rsidR="00E851B2">
        <w:t xml:space="preserve">can be obtained </w:t>
      </w:r>
      <w:r w:rsidR="007A3936">
        <w:t xml:space="preserve">by </w:t>
      </w:r>
      <w:r w:rsidR="007A3936" w:rsidRPr="0087192F">
        <w:t>us</w:t>
      </w:r>
      <w:r w:rsidR="007A3936">
        <w:t xml:space="preserve">ing </w:t>
      </w:r>
      <w:r w:rsidR="007A3936" w:rsidRPr="0087192F">
        <w:t xml:space="preserve">a stochastic process </w:t>
      </w:r>
      <w:r w:rsidR="00C448FC">
        <w:t xml:space="preserve">to </w:t>
      </w:r>
      <w:r w:rsidR="007A3936" w:rsidRPr="0087192F">
        <w:rPr>
          <w:bCs/>
          <w:color w:val="000000" w:themeColor="text1"/>
        </w:rPr>
        <w:t xml:space="preserve">identify </w:t>
      </w:r>
      <w:r w:rsidR="007A3936" w:rsidRPr="0087192F">
        <w:rPr>
          <w:bCs/>
          <w:iCs/>
          <w:color w:val="000000" w:themeColor="text1"/>
        </w:rPr>
        <w:t>a hidden option</w:t>
      </w:r>
      <w:r w:rsidR="00E851B2">
        <w:rPr>
          <w:bCs/>
          <w:iCs/>
          <w:color w:val="000000" w:themeColor="text1"/>
        </w:rPr>
        <w:t>,</w:t>
      </w:r>
      <w:r w:rsidR="007A3936" w:rsidRPr="0087192F">
        <w:rPr>
          <w:bCs/>
          <w:iCs/>
          <w:color w:val="000000" w:themeColor="text1"/>
        </w:rPr>
        <w:t xml:space="preserve"> </w:t>
      </w:r>
      <w:r w:rsidR="007A3936" w:rsidRPr="0087192F">
        <w:rPr>
          <w:bCs/>
          <w:color w:val="000000" w:themeColor="text1"/>
        </w:rPr>
        <w:t>or</w:t>
      </w:r>
      <w:r w:rsidR="007A3936" w:rsidRPr="0087192F">
        <w:rPr>
          <w:bCs/>
          <w:i/>
          <w:iCs/>
          <w:color w:val="000000" w:themeColor="text1"/>
        </w:rPr>
        <w:t xml:space="preserve"> </w:t>
      </w:r>
      <w:r w:rsidR="007A3936" w:rsidRPr="0087192F">
        <w:rPr>
          <w:bCs/>
          <w:color w:val="000000" w:themeColor="text1"/>
        </w:rPr>
        <w:t>creat</w:t>
      </w:r>
      <w:r w:rsidR="00E851B2">
        <w:rPr>
          <w:bCs/>
          <w:color w:val="000000" w:themeColor="text1"/>
        </w:rPr>
        <w:t>e</w:t>
      </w:r>
      <w:r w:rsidR="007A3936" w:rsidRPr="0087192F">
        <w:rPr>
          <w:bCs/>
          <w:iCs/>
          <w:color w:val="000000" w:themeColor="text1"/>
        </w:rPr>
        <w:t xml:space="preserve"> an opportunity</w:t>
      </w:r>
      <w:r w:rsidR="007A3936" w:rsidRPr="00D076D4">
        <w:t xml:space="preserve"> </w:t>
      </w:r>
      <w:r w:rsidR="007A3936">
        <w:t xml:space="preserve">for the </w:t>
      </w:r>
      <w:r w:rsidR="007A3936" w:rsidRPr="0087192F">
        <w:t>project</w:t>
      </w:r>
      <w:r w:rsidR="007A3936">
        <w:t xml:space="preserve"> life </w:t>
      </w:r>
      <w:r w:rsidR="006A47D3">
        <w:t>or</w:t>
      </w:r>
      <w:r w:rsidR="007A3936">
        <w:t xml:space="preserve"> related businesses</w:t>
      </w:r>
      <w:r w:rsidR="00555425">
        <w:t>,</w:t>
      </w:r>
      <w:r w:rsidR="007A3936">
        <w:t xml:space="preserve"> through its outlays</w:t>
      </w:r>
      <w:r w:rsidR="006A47D3">
        <w:t xml:space="preserve">, which can be </w:t>
      </w:r>
      <w:r w:rsidR="006A47D3" w:rsidRPr="00B8044A">
        <w:t xml:space="preserve">written </w:t>
      </w:r>
      <w:r w:rsidR="006A47D3">
        <w:t>by Eq. 1:</w:t>
      </w:r>
    </w:p>
    <w:p w14:paraId="52811249" w14:textId="77777777" w:rsidR="00B8044A" w:rsidRPr="00B8044A" w:rsidRDefault="0010515D" w:rsidP="009D468A">
      <w:pPr>
        <w:autoSpaceDE w:val="0"/>
        <w:autoSpaceDN w:val="0"/>
        <w:adjustRightInd w:val="0"/>
        <w:spacing w:before="120" w:line="480" w:lineRule="auto"/>
        <w:jc w:val="both"/>
      </w:pPr>
      <w:r w:rsidRPr="00F44633">
        <w:rPr>
          <w:noProof/>
          <w:position w:val="-24"/>
        </w:rPr>
        <w:object w:dxaOrig="1719" w:dyaOrig="620" w14:anchorId="42C2F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31.35pt;mso-width-percent:0;mso-height-percent:0;mso-width-percent:0;mso-height-percent:0" o:ole="">
            <v:imagedata r:id="rId11" o:title=""/>
          </v:shape>
          <o:OLEObject Type="Embed" ProgID="Equation.3" ShapeID="_x0000_i1025" DrawAspect="Content" ObjectID="_1712048702" r:id="rId12"/>
        </w:object>
      </w:r>
      <w:r w:rsidR="00B8044A" w:rsidRPr="00B8044A">
        <w:t>……   (1)</w:t>
      </w:r>
    </w:p>
    <w:p w14:paraId="3CA75D20" w14:textId="77777777" w:rsidR="00B8044A" w:rsidRDefault="00B8044A" w:rsidP="009D468A">
      <w:pPr>
        <w:spacing w:before="120" w:line="480" w:lineRule="auto"/>
        <w:jc w:val="both"/>
      </w:pPr>
      <w:r w:rsidRPr="00B8044A">
        <w:t xml:space="preserve">where </w:t>
      </w:r>
      <w:r w:rsidRPr="00B8044A">
        <w:rPr>
          <w:i/>
        </w:rPr>
        <w:t>V</w:t>
      </w:r>
      <w:r w:rsidRPr="00B8044A">
        <w:t xml:space="preserve"> is the present value of th</w:t>
      </w:r>
      <w:r w:rsidR="00514E1E">
        <w:t xml:space="preserve">e deferral </w:t>
      </w:r>
      <w:r w:rsidRPr="00B8044A">
        <w:t xml:space="preserve">project, </w:t>
      </w:r>
      <w:r w:rsidRPr="00B8044A">
        <w:rPr>
          <w:i/>
        </w:rPr>
        <w:sym w:font="Symbol" w:char="F061"/>
      </w:r>
      <w:r w:rsidRPr="00B8044A">
        <w:t xml:space="preserve"> is the instantaneous expected return on the project, </w:t>
      </w:r>
      <w:r w:rsidRPr="00B8044A">
        <w:rPr>
          <w:i/>
        </w:rPr>
        <w:t>σ</w:t>
      </w:r>
      <w:r w:rsidRPr="00B8044A">
        <w:t xml:space="preserve"> is the instantaneous standard deviation of the project value, and </w:t>
      </w:r>
      <w:proofErr w:type="spellStart"/>
      <w:r w:rsidRPr="00B8044A">
        <w:rPr>
          <w:i/>
        </w:rPr>
        <w:t>dz</w:t>
      </w:r>
      <w:proofErr w:type="spellEnd"/>
      <w:r w:rsidRPr="00B8044A">
        <w:t xml:space="preserve"> is an increment of a standard Wiener process</w:t>
      </w:r>
      <w:r w:rsidR="00B17C82">
        <w:t>.</w:t>
      </w:r>
    </w:p>
    <w:p w14:paraId="7BAC6FF6" w14:textId="11E5B308" w:rsidR="003A3DBA" w:rsidRPr="00B8044A" w:rsidRDefault="00471C74" w:rsidP="009D468A">
      <w:pPr>
        <w:spacing w:before="120" w:line="480" w:lineRule="auto"/>
        <w:ind w:firstLine="284"/>
        <w:jc w:val="both"/>
      </w:pPr>
      <w:r>
        <w:t>To</w:t>
      </w:r>
      <w:r w:rsidR="00C448FC">
        <w:t xml:space="preserve"> </w:t>
      </w:r>
      <w:r>
        <w:t>date, the UK g</w:t>
      </w:r>
      <w:r w:rsidR="00B8044A" w:rsidRPr="00B8044A">
        <w:t xml:space="preserve">overnment has a </w:t>
      </w:r>
      <w:r w:rsidR="00E46CB9">
        <w:t>12</w:t>
      </w:r>
      <w:r w:rsidR="00B8044A" w:rsidRPr="00B8044A">
        <w:t xml:space="preserve">-months project granting </w:t>
      </w:r>
      <w:r w:rsidR="00E46CB9">
        <w:t>lockdown</w:t>
      </w:r>
      <w:r w:rsidR="00990DF6">
        <w:t xml:space="preserve"> (IFG, 2021a)</w:t>
      </w:r>
      <w:r w:rsidR="00467CDF">
        <w:t>.</w:t>
      </w:r>
      <w:r w:rsidR="00B8044A" w:rsidRPr="00B8044A">
        <w:t xml:space="preserve"> </w:t>
      </w:r>
      <w:r w:rsidR="00467CDF">
        <w:t>T</w:t>
      </w:r>
      <w:r w:rsidR="00B8044A" w:rsidRPr="00B8044A">
        <w:t xml:space="preserve">he exclusive right to defer </w:t>
      </w:r>
      <w:r w:rsidR="00555425">
        <w:t>(</w:t>
      </w:r>
      <w:proofErr w:type="spellStart"/>
      <w:r w:rsidR="00555425">
        <w:t>ie</w:t>
      </w:r>
      <w:proofErr w:type="spellEnd"/>
      <w:r w:rsidR="00555425">
        <w:t xml:space="preserve">. </w:t>
      </w:r>
      <w:r w:rsidR="00F31A8E">
        <w:t xml:space="preserve">defer </w:t>
      </w:r>
      <w:r w:rsidR="00555425">
        <w:t xml:space="preserve">normal patterns of business) by </w:t>
      </w:r>
      <w:r w:rsidR="0096212F">
        <w:t xml:space="preserve">the </w:t>
      </w:r>
      <w:r w:rsidR="00B8044A" w:rsidRPr="00B8044A">
        <w:t>undertak</w:t>
      </w:r>
      <w:r w:rsidR="0096212F">
        <w:t>en</w:t>
      </w:r>
      <w:r w:rsidR="00B8044A" w:rsidRPr="00B8044A">
        <w:t xml:space="preserve"> </w:t>
      </w:r>
      <w:r w:rsidR="00467CDF">
        <w:t>lockdown project</w:t>
      </w:r>
      <w:r w:rsidR="0096212F">
        <w:t>,</w:t>
      </w:r>
      <w:r w:rsidR="00467CDF">
        <w:t xml:space="preserve"> also means </w:t>
      </w:r>
      <w:r w:rsidR="00990DF6">
        <w:t xml:space="preserve">that </w:t>
      </w:r>
      <w:r w:rsidR="00467CDF">
        <w:t xml:space="preserve">the business sector </w:t>
      </w:r>
      <w:r w:rsidR="0096212F">
        <w:t>has</w:t>
      </w:r>
      <w:r w:rsidR="00B8044A" w:rsidRPr="00B8044A">
        <w:t xml:space="preserve"> </w:t>
      </w:r>
      <w:r w:rsidR="00E46CB9">
        <w:t>12</w:t>
      </w:r>
      <w:r w:rsidR="00B8044A" w:rsidRPr="00B8044A">
        <w:t xml:space="preserve"> months</w:t>
      </w:r>
      <w:r w:rsidR="00467CDF">
        <w:t xml:space="preserve"> </w:t>
      </w:r>
      <w:r w:rsidR="00990DF6">
        <w:t xml:space="preserve">to defer </w:t>
      </w:r>
      <w:r w:rsidR="0096212F">
        <w:t>(</w:t>
      </w:r>
      <w:proofErr w:type="gramStart"/>
      <w:r w:rsidR="0096212F">
        <w:t>i</w:t>
      </w:r>
      <w:r w:rsidR="00073251">
        <w:t>.</w:t>
      </w:r>
      <w:r w:rsidR="0096212F">
        <w:t>e.</w:t>
      </w:r>
      <w:proofErr w:type="gramEnd"/>
      <w:r w:rsidR="0096212F">
        <w:t xml:space="preserve"> </w:t>
      </w:r>
      <w:r w:rsidR="00467CDF" w:rsidRPr="00B8044A">
        <w:t xml:space="preserve">contract </w:t>
      </w:r>
      <w:r w:rsidR="00467CDF">
        <w:t xml:space="preserve">new </w:t>
      </w:r>
      <w:r w:rsidR="00467CDF" w:rsidRPr="00B8044A">
        <w:t>store</w:t>
      </w:r>
      <w:r w:rsidR="00467CDF">
        <w:t>s</w:t>
      </w:r>
      <w:r w:rsidR="0096212F">
        <w:t xml:space="preserve"> or </w:t>
      </w:r>
      <w:r w:rsidR="00467CDF">
        <w:t>deliver investment projects</w:t>
      </w:r>
      <w:r w:rsidR="0096212F">
        <w:t>)</w:t>
      </w:r>
      <w:r w:rsidR="00467CDF">
        <w:t xml:space="preserve">. </w:t>
      </w:r>
      <w:r w:rsidR="00B8044A" w:rsidRPr="00B8044A">
        <w:t>The defer</w:t>
      </w:r>
      <w:r w:rsidR="00EE4F5E">
        <w:t xml:space="preserve">ral </w:t>
      </w:r>
      <w:r w:rsidR="00E46CB9">
        <w:t>option</w:t>
      </w:r>
      <w:r w:rsidR="00EE4F5E">
        <w:t xml:space="preserve"> in evaluation,</w:t>
      </w:r>
      <w:r w:rsidR="00E46CB9">
        <w:t xml:space="preserve"> </w:t>
      </w:r>
      <w:r w:rsidR="00EE4F5E">
        <w:t xml:space="preserve">therefore, </w:t>
      </w:r>
      <w:r w:rsidR="0096212F">
        <w:t>become</w:t>
      </w:r>
      <w:r w:rsidR="00F31A8E">
        <w:t>s</w:t>
      </w:r>
      <w:r w:rsidR="00B8044A" w:rsidRPr="00B8044A">
        <w:t xml:space="preserve"> determined </w:t>
      </w:r>
      <w:r w:rsidR="00F31A8E">
        <w:t xml:space="preserve">by </w:t>
      </w:r>
      <w:r w:rsidR="00B8044A" w:rsidRPr="00B8044A">
        <w:t xml:space="preserve">the positive amount of the option </w:t>
      </w:r>
      <w:r w:rsidR="00CB014A">
        <w:t xml:space="preserve">in </w:t>
      </w:r>
      <w:r w:rsidR="00B8044A" w:rsidRPr="00B8044A">
        <w:t xml:space="preserve">the deferability provided by the </w:t>
      </w:r>
      <w:r w:rsidR="0096212F">
        <w:t xml:space="preserve">lockdown </w:t>
      </w:r>
      <w:r w:rsidR="00B8044A" w:rsidRPr="00B8044A">
        <w:t>project</w:t>
      </w:r>
      <w:r w:rsidR="00F31A8E" w:rsidRPr="00F31A8E">
        <w:t xml:space="preserve"> </w:t>
      </w:r>
      <w:r w:rsidR="00F31A8E" w:rsidRPr="00B8044A">
        <w:t>value</w:t>
      </w:r>
      <w:r w:rsidR="00E46CB9">
        <w:t>.</w:t>
      </w:r>
      <w:r w:rsidR="00EE4F5E">
        <w:t xml:space="preserve"> From Eq</w:t>
      </w:r>
      <w:r w:rsidR="00867702">
        <w:t>.</w:t>
      </w:r>
      <w:r w:rsidR="00EE4F5E">
        <w:t xml:space="preserve"> </w:t>
      </w:r>
      <w:r w:rsidR="00CA5231">
        <w:t>2</w:t>
      </w:r>
      <w:r w:rsidR="00CA5231" w:rsidRPr="00B8044A">
        <w:t xml:space="preserve"> below</w:t>
      </w:r>
      <w:r w:rsidR="00CA5231">
        <w:t>,</w:t>
      </w:r>
      <w:r w:rsidR="00EE4F5E">
        <w:t xml:space="preserve"> </w:t>
      </w:r>
      <w:r w:rsidR="00CA5231">
        <w:t>t</w:t>
      </w:r>
      <w:r w:rsidR="003A3DBA" w:rsidRPr="00B8044A">
        <w:t>he project value</w:t>
      </w:r>
      <w:r w:rsidR="00D63129">
        <w:t xml:space="preserve"> change</w:t>
      </w:r>
      <w:r w:rsidR="00B17C82">
        <w:t>,</w:t>
      </w:r>
      <w:r w:rsidR="003A3DBA" w:rsidRPr="00B8044A">
        <w:t xml:space="preserve"> </w:t>
      </w:r>
      <w:proofErr w:type="spellStart"/>
      <w:r w:rsidR="00D63129" w:rsidRPr="002176C2">
        <w:rPr>
          <w:i/>
          <w:iCs/>
        </w:rPr>
        <w:t>d</w:t>
      </w:r>
      <w:r w:rsidR="003A3DBA" w:rsidRPr="00B8044A">
        <w:rPr>
          <w:i/>
        </w:rPr>
        <w:t>V</w:t>
      </w:r>
      <w:proofErr w:type="spellEnd"/>
      <w:r w:rsidR="00B17C82">
        <w:rPr>
          <w:i/>
        </w:rPr>
        <w:t>,</w:t>
      </w:r>
      <w:r w:rsidR="003A3DBA" w:rsidRPr="00B8044A">
        <w:rPr>
          <w:i/>
        </w:rPr>
        <w:t xml:space="preserve"> </w:t>
      </w:r>
      <w:r w:rsidR="003A3DBA" w:rsidRPr="00B8044A">
        <w:t xml:space="preserve">is assumed to follow the standard diffusion Wiener process given by </w:t>
      </w:r>
    </w:p>
    <w:p w14:paraId="21501A51" w14:textId="77777777" w:rsidR="003A3DBA" w:rsidRPr="00B8044A" w:rsidRDefault="0010515D" w:rsidP="009D468A">
      <w:pPr>
        <w:autoSpaceDE w:val="0"/>
        <w:autoSpaceDN w:val="0"/>
        <w:adjustRightInd w:val="0"/>
        <w:spacing w:before="120" w:line="480" w:lineRule="auto"/>
        <w:jc w:val="both"/>
      </w:pPr>
      <w:r w:rsidRPr="00F44633">
        <w:rPr>
          <w:noProof/>
          <w:position w:val="-24"/>
        </w:rPr>
        <w:object w:dxaOrig="2160" w:dyaOrig="620" w14:anchorId="15040B57">
          <v:shape id="_x0000_i1026" type="#_x0000_t75" alt="" style="width:110.5pt;height:31.35pt;mso-width-percent:0;mso-height-percent:0;mso-width-percent:0;mso-height-percent:0" o:ole="">
            <v:imagedata r:id="rId13" o:title=""/>
          </v:shape>
          <o:OLEObject Type="Embed" ProgID="Equation.3" ShapeID="_x0000_i1026" DrawAspect="Content" ObjectID="_1712048703" r:id="rId14"/>
        </w:object>
      </w:r>
      <w:r w:rsidR="003A3DBA" w:rsidRPr="00B8044A">
        <w:t>……………………</w:t>
      </w:r>
      <w:r w:rsidR="006D430D">
        <w:t xml:space="preserve"> </w:t>
      </w:r>
      <w:r w:rsidR="003A3DBA" w:rsidRPr="00B8044A">
        <w:t>(</w:t>
      </w:r>
      <w:r w:rsidR="00EE4F5E">
        <w:t>2</w:t>
      </w:r>
      <w:r w:rsidR="003A3DBA" w:rsidRPr="00B8044A">
        <w:t>)</w:t>
      </w:r>
    </w:p>
    <w:p w14:paraId="190E6946" w14:textId="77777777" w:rsidR="003A3DBA" w:rsidRPr="00B8044A" w:rsidRDefault="003A3DBA" w:rsidP="009D468A">
      <w:pPr>
        <w:spacing w:before="120" w:line="480" w:lineRule="auto"/>
        <w:jc w:val="both"/>
      </w:pPr>
      <w:r w:rsidRPr="00B8044A">
        <w:lastRenderedPageBreak/>
        <w:t xml:space="preserve">where </w:t>
      </w:r>
      <w:r w:rsidRPr="00B8044A">
        <w:rPr>
          <w:i/>
        </w:rPr>
        <w:sym w:font="Symbol" w:char="F061"/>
      </w:r>
      <w:r w:rsidR="00C3219F">
        <w:rPr>
          <w:i/>
        </w:rPr>
        <w:t xml:space="preserve">, </w:t>
      </w:r>
      <w:r w:rsidR="00C3219F" w:rsidRPr="00B8044A">
        <w:rPr>
          <w:i/>
        </w:rPr>
        <w:t>σ</w:t>
      </w:r>
      <w:r w:rsidR="00C3219F">
        <w:t xml:space="preserve">, </w:t>
      </w:r>
      <w:proofErr w:type="spellStart"/>
      <w:r w:rsidR="00C3219F" w:rsidRPr="00B8044A">
        <w:rPr>
          <w:i/>
        </w:rPr>
        <w:t>dz</w:t>
      </w:r>
      <w:proofErr w:type="spellEnd"/>
      <w:r w:rsidR="00C3219F">
        <w:t xml:space="preserve">, and </w:t>
      </w:r>
      <w:proofErr w:type="spellStart"/>
      <w:r w:rsidR="00C3219F" w:rsidRPr="00B8044A">
        <w:rPr>
          <w:i/>
        </w:rPr>
        <w:t>dz</w:t>
      </w:r>
      <w:proofErr w:type="spellEnd"/>
      <w:r w:rsidR="00C3219F" w:rsidRPr="00B8044A">
        <w:rPr>
          <w:i/>
        </w:rPr>
        <w:t xml:space="preserve"> </w:t>
      </w:r>
      <w:r w:rsidR="00E851B2">
        <w:rPr>
          <w:iCs/>
        </w:rPr>
        <w:t xml:space="preserve">are as </w:t>
      </w:r>
      <w:r w:rsidR="00C3219F">
        <w:t xml:space="preserve">defined earlier, </w:t>
      </w:r>
      <w:r w:rsidRPr="00B8044A">
        <w:t xml:space="preserve">and </w:t>
      </w:r>
      <w:r w:rsidRPr="00B8044A">
        <w:rPr>
          <w:i/>
        </w:rPr>
        <w:sym w:font="Symbol" w:char="F064"/>
      </w:r>
      <w:r w:rsidRPr="00B8044A">
        <w:rPr>
          <w:i/>
        </w:rPr>
        <w:t xml:space="preserve"> </w:t>
      </w:r>
      <w:r w:rsidRPr="00B8044A">
        <w:t>is the rate</w:t>
      </w:r>
      <w:r w:rsidRPr="00B8044A">
        <w:rPr>
          <w:i/>
        </w:rPr>
        <w:t xml:space="preserve"> </w:t>
      </w:r>
      <w:r w:rsidRPr="00B8044A">
        <w:t xml:space="preserve">of return shortfall between the equilibrium total expected return required of an equivalent-risk </w:t>
      </w:r>
      <w:r w:rsidR="0096212F">
        <w:t>asset (i</w:t>
      </w:r>
      <w:r w:rsidR="00E851B2">
        <w:t>.</w:t>
      </w:r>
      <w:r w:rsidR="0096212F">
        <w:t>e.</w:t>
      </w:r>
      <w:r w:rsidR="00E851B2">
        <w:t>,</w:t>
      </w:r>
      <w:r w:rsidR="0096212F">
        <w:t xml:space="preserve"> </w:t>
      </w:r>
      <w:r w:rsidRPr="00B8044A">
        <w:t>traded financial asset</w:t>
      </w:r>
      <w:r w:rsidR="00C5035E">
        <w:t>,</w:t>
      </w:r>
      <w:r w:rsidRPr="00B8044A">
        <w:t xml:space="preserve"> </w:t>
      </w:r>
      <w:r w:rsidR="00C5035E">
        <w:t xml:space="preserve">or </w:t>
      </w:r>
      <w:r w:rsidRPr="00B8044A">
        <w:t>any proportional cash-flow</w:t>
      </w:r>
      <w:r w:rsidR="00C3219F">
        <w:t>,</w:t>
      </w:r>
      <w:r w:rsidRPr="00B8044A">
        <w:t xml:space="preserve"> </w:t>
      </w:r>
      <w:r w:rsidR="00C5035E">
        <w:t xml:space="preserve">or </w:t>
      </w:r>
      <w:r w:rsidRPr="00B8044A">
        <w:t>dividend-like pay</w:t>
      </w:r>
      <w:r w:rsidR="00E851B2">
        <w:t>-</w:t>
      </w:r>
      <w:r w:rsidRPr="00B8044A">
        <w:t xml:space="preserve">out). </w:t>
      </w:r>
    </w:p>
    <w:p w14:paraId="58E95FB8" w14:textId="18FB0CB4" w:rsidR="0004602C" w:rsidRDefault="00AF69AB" w:rsidP="009D468A">
      <w:pPr>
        <w:spacing w:before="120" w:line="480" w:lineRule="auto"/>
        <w:ind w:firstLine="284"/>
        <w:jc w:val="both"/>
        <w:rPr>
          <w:color w:val="000000" w:themeColor="text1"/>
        </w:rPr>
      </w:pPr>
      <w:r>
        <w:t xml:space="preserve">Theoretically, the </w:t>
      </w:r>
      <w:r w:rsidR="00514E1E">
        <w:t xml:space="preserve">value of </w:t>
      </w:r>
      <w:r>
        <w:t xml:space="preserve">lockdown </w:t>
      </w:r>
      <w:r w:rsidR="00514E1E">
        <w:t xml:space="preserve">option </w:t>
      </w:r>
      <w:r>
        <w:t>(</w:t>
      </w:r>
      <w:r w:rsidRPr="00B8044A">
        <w:t xml:space="preserve">Project </w:t>
      </w:r>
      <w:r>
        <w:t xml:space="preserve">A) will </w:t>
      </w:r>
      <w:r w:rsidRPr="00B8044A">
        <w:t xml:space="preserve">substitute the appropriate values for the payoffs to the </w:t>
      </w:r>
      <w:r>
        <w:t xml:space="preserve">deferral for the business </w:t>
      </w:r>
      <w:r w:rsidR="00E95924">
        <w:t xml:space="preserve">growth </w:t>
      </w:r>
      <w:r w:rsidRPr="00B8044A">
        <w:t>opportunit</w:t>
      </w:r>
      <w:r w:rsidR="00E95924">
        <w:t>ies</w:t>
      </w:r>
      <w:r w:rsidRPr="00B8044A">
        <w:t xml:space="preserve"> (or equity claims</w:t>
      </w:r>
      <w:r>
        <w:t>)</w:t>
      </w:r>
      <w:r w:rsidRPr="00B8044A">
        <w:t xml:space="preserve">, </w:t>
      </w:r>
      <w:r w:rsidRPr="00B8044A">
        <w:rPr>
          <w:i/>
        </w:rPr>
        <w:t>E</w:t>
      </w:r>
      <w:r w:rsidRPr="00B8044A">
        <w:rPr>
          <w:vertAlign w:val="superscript"/>
        </w:rPr>
        <w:t>+</w:t>
      </w:r>
      <w:r w:rsidRPr="00B8044A">
        <w:t xml:space="preserve"> and </w:t>
      </w:r>
      <w:r w:rsidRPr="00B8044A">
        <w:rPr>
          <w:i/>
        </w:rPr>
        <w:t>E</w:t>
      </w:r>
      <w:r w:rsidRPr="00B8044A">
        <w:t>, in the risk-neutral valuation relationship</w:t>
      </w:r>
      <w:r>
        <w:t xml:space="preserve">, </w:t>
      </w:r>
    </w:p>
    <w:p w14:paraId="0C0A0604" w14:textId="77777777" w:rsidR="00AF69AB" w:rsidRPr="0004602C" w:rsidRDefault="000669BA" w:rsidP="009D468A">
      <w:pPr>
        <w:spacing w:before="120" w:line="480" w:lineRule="auto"/>
        <w:rPr>
          <w:color w:val="000000" w:themeColor="text1"/>
        </w:rPr>
      </w:pPr>
      <m:oMathPara>
        <m:oMathParaPr>
          <m:jc m:val="left"/>
        </m:oMathParaP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sup>
          </m:sSup>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max</m:t>
              </m:r>
            </m:fName>
            <m:e>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0</m:t>
                  </m:r>
                </m:sub>
              </m:sSub>
              <m:r>
                <w:rPr>
                  <w:rFonts w:ascii="Cambria Math" w:hAnsi="Cambria Math"/>
                  <w:color w:val="000000" w:themeColor="text1"/>
                </w:rPr>
                <m:t>,0)</m:t>
              </m:r>
            </m:e>
          </m:func>
        </m:oMath>
      </m:oMathPara>
    </w:p>
    <w:p w14:paraId="779577B4" w14:textId="77777777" w:rsidR="00F21A5C" w:rsidRPr="00F21A5C" w:rsidRDefault="000669BA" w:rsidP="009D468A">
      <w:pPr>
        <w:spacing w:before="120" w:line="480" w:lineRule="auto"/>
        <w:rPr>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sup>
        </m:sSup>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max</m:t>
            </m:r>
          </m:fName>
          <m:e>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0</m:t>
                </m:r>
              </m:sub>
            </m:sSub>
            <m:r>
              <w:rPr>
                <w:rFonts w:ascii="Cambria Math" w:hAnsi="Cambria Math"/>
                <w:color w:val="000000" w:themeColor="text1"/>
              </w:rPr>
              <m:t>,0)</m:t>
            </m:r>
          </m:e>
        </m:func>
      </m:oMath>
      <w:r w:rsidR="00F21A5C" w:rsidRPr="00B8044A">
        <w:t>………………</w:t>
      </w:r>
      <w:r w:rsidR="000C5B9B">
        <w:t xml:space="preserve"> </w:t>
      </w:r>
      <w:r w:rsidR="00F21A5C">
        <w:t xml:space="preserve"> </w:t>
      </w:r>
      <w:r w:rsidR="00F21A5C" w:rsidRPr="00B8044A">
        <w:t>(</w:t>
      </w:r>
      <w:r w:rsidR="00F21A5C">
        <w:t>3</w:t>
      </w:r>
      <w:r w:rsidR="00F21A5C" w:rsidRPr="00B8044A">
        <w:t>)</w:t>
      </w:r>
    </w:p>
    <w:p w14:paraId="26CA8316" w14:textId="48A63542" w:rsidR="000E6B61" w:rsidRDefault="00C2490D" w:rsidP="009D468A">
      <w:pPr>
        <w:spacing w:before="120" w:line="480" w:lineRule="auto"/>
        <w:jc w:val="both"/>
        <w:rPr>
          <w:color w:val="0D0D0D" w:themeColor="text1" w:themeTint="F2"/>
        </w:rPr>
      </w:pPr>
      <w:r>
        <w:t xml:space="preserve">Then, </w:t>
      </w:r>
      <w:r w:rsidR="0078246A">
        <w:t>we have below values</w:t>
      </w:r>
      <w:r w:rsidR="0071738A">
        <w:t xml:space="preserve"> (accommodating with Figure 3)</w:t>
      </w:r>
      <w:r w:rsidR="008E72D0">
        <w:t xml:space="preserve"> when the </w:t>
      </w:r>
      <w:r w:rsidR="0078246A" w:rsidRPr="00BF7C23">
        <w:rPr>
          <w:color w:val="0D0D0D" w:themeColor="text1" w:themeTint="F2"/>
        </w:rPr>
        <w:t xml:space="preserve">project </w:t>
      </w:r>
      <w:r w:rsidR="009A313D" w:rsidRPr="00BF7C23">
        <w:rPr>
          <w:color w:val="0D0D0D" w:themeColor="text1" w:themeTint="F2"/>
        </w:rPr>
        <w:t xml:space="preserve">starting </w:t>
      </w:r>
      <w:r w:rsidR="0078246A" w:rsidRPr="00BF7C23">
        <w:rPr>
          <w:color w:val="0D0D0D" w:themeColor="text1" w:themeTint="F2"/>
        </w:rPr>
        <w:t>value</w:t>
      </w:r>
      <w:r w:rsidR="00AB3DBB">
        <w:rPr>
          <w:color w:val="0D0D0D" w:themeColor="text1" w:themeTint="F2"/>
        </w:rPr>
        <w:t xml:space="preserve"> as</w:t>
      </w:r>
      <w:r w:rsidR="009A3B79">
        <w:rPr>
          <w:color w:val="0D0D0D" w:themeColor="text1" w:themeTint="F2"/>
        </w:rPr>
        <w:t xml:space="preserve"> </w:t>
      </w:r>
      <w:r w:rsidR="009A3B79" w:rsidRPr="00AE6602">
        <w:rPr>
          <w:i/>
          <w:iCs/>
          <w:color w:val="0D0D0D" w:themeColor="text1" w:themeTint="F2"/>
        </w:rPr>
        <w:t>V</w:t>
      </w:r>
      <w:r w:rsidR="0078246A" w:rsidRPr="00BF7C23">
        <w:rPr>
          <w:color w:val="0D0D0D" w:themeColor="text1" w:themeTint="F2"/>
        </w:rPr>
        <w:t xml:space="preserve"> </w:t>
      </w:r>
      <w:r w:rsidR="009A3B79">
        <w:rPr>
          <w:color w:val="0D0D0D" w:themeColor="text1" w:themeTint="F2"/>
        </w:rPr>
        <w:t>(</w:t>
      </w:r>
      <w:proofErr w:type="gramStart"/>
      <w:r w:rsidR="009A3B79">
        <w:rPr>
          <w:color w:val="0D0D0D" w:themeColor="text1" w:themeTint="F2"/>
        </w:rPr>
        <w:t>i.e.</w:t>
      </w:r>
      <w:proofErr w:type="gramEnd"/>
      <w:r w:rsidR="009A3B79">
        <w:rPr>
          <w:color w:val="0D0D0D" w:themeColor="text1" w:themeTint="F2"/>
        </w:rPr>
        <w:t xml:space="preserve"> </w:t>
      </w:r>
      <w:r w:rsidR="0078246A" w:rsidRPr="00BF7C23">
        <w:rPr>
          <w:color w:val="0D0D0D" w:themeColor="text1" w:themeTint="F2"/>
        </w:rPr>
        <w:t xml:space="preserve">£ </w:t>
      </w:r>
      <w:r w:rsidR="009A3B79">
        <w:rPr>
          <w:color w:val="0D0D0D" w:themeColor="text1" w:themeTint="F2"/>
        </w:rPr>
        <w:t xml:space="preserve">180 </w:t>
      </w:r>
      <w:r w:rsidR="0078246A" w:rsidRPr="00BF7C23">
        <w:rPr>
          <w:color w:val="0D0D0D" w:themeColor="text1" w:themeTint="F2"/>
        </w:rPr>
        <w:t xml:space="preserve">million) </w:t>
      </w:r>
      <w:r w:rsidR="00010E7B" w:rsidRPr="00BF7C23">
        <w:rPr>
          <w:color w:val="0D0D0D" w:themeColor="text1" w:themeTint="F2"/>
        </w:rPr>
        <w:t xml:space="preserve">for a time </w:t>
      </w:r>
      <w:r w:rsidR="00010E7B" w:rsidRPr="00BF7C23">
        <w:rPr>
          <w:i/>
          <w:iCs/>
          <w:color w:val="0D0D0D" w:themeColor="text1" w:themeTint="F2"/>
        </w:rPr>
        <w:t>t</w:t>
      </w:r>
      <w:r w:rsidR="00010E7B" w:rsidRPr="00BF7C23">
        <w:rPr>
          <w:color w:val="0D0D0D" w:themeColor="text1" w:themeTint="F2"/>
        </w:rPr>
        <w:t xml:space="preserve"> =</w:t>
      </w:r>
      <w:r w:rsidR="00373BF8" w:rsidRPr="00BF7C23">
        <w:rPr>
          <w:color w:val="0D0D0D" w:themeColor="text1" w:themeTint="F2"/>
        </w:rPr>
        <w:t>12</w:t>
      </w:r>
      <w:r w:rsidR="00010E7B" w:rsidRPr="00BF7C23">
        <w:rPr>
          <w:color w:val="0D0D0D" w:themeColor="text1" w:themeTint="F2"/>
        </w:rPr>
        <w:t xml:space="preserve"> month</w:t>
      </w:r>
      <w:r w:rsidR="00373BF8" w:rsidRPr="00BF7C23">
        <w:rPr>
          <w:color w:val="0D0D0D" w:themeColor="text1" w:themeTint="F2"/>
        </w:rPr>
        <w:t>s</w:t>
      </w:r>
      <w:r w:rsidR="00010E7B" w:rsidRPr="00BF7C23">
        <w:rPr>
          <w:color w:val="0D0D0D" w:themeColor="text1" w:themeTint="F2"/>
        </w:rPr>
        <w:t xml:space="preserve"> (4 quarters), </w:t>
      </w:r>
      <w:r w:rsidR="009A313D" w:rsidRPr="00BF7C23">
        <w:rPr>
          <w:color w:val="0D0D0D" w:themeColor="text1" w:themeTint="F2"/>
        </w:rPr>
        <w:t>r</w:t>
      </w:r>
      <w:r w:rsidR="00373BF8" w:rsidRPr="00BF7C23">
        <w:rPr>
          <w:color w:val="0D0D0D" w:themeColor="text1" w:themeTint="F2"/>
        </w:rPr>
        <w:t>isk-</w:t>
      </w:r>
      <w:r w:rsidR="009A313D" w:rsidRPr="00BF7C23">
        <w:rPr>
          <w:color w:val="0D0D0D" w:themeColor="text1" w:themeTint="F2"/>
        </w:rPr>
        <w:t>f</w:t>
      </w:r>
      <w:r w:rsidR="00373BF8" w:rsidRPr="00BF7C23">
        <w:rPr>
          <w:color w:val="0D0D0D" w:themeColor="text1" w:themeTint="F2"/>
        </w:rPr>
        <w:t xml:space="preserve">ree </w:t>
      </w:r>
      <w:r w:rsidR="002039F6" w:rsidRPr="00BF7C23">
        <w:rPr>
          <w:color w:val="0D0D0D" w:themeColor="text1" w:themeTint="F2"/>
        </w:rPr>
        <w:t>(or risk neutral) r</w:t>
      </w:r>
      <w:r w:rsidR="00373BF8" w:rsidRPr="00BF7C23">
        <w:rPr>
          <w:color w:val="0D0D0D" w:themeColor="text1" w:themeTint="F2"/>
        </w:rPr>
        <w:t xml:space="preserve">ate </w:t>
      </w:r>
      <w:r w:rsidR="00373BF8" w:rsidRPr="00BF7C23">
        <w:rPr>
          <w:i/>
          <w:iCs/>
          <w:color w:val="0D0D0D" w:themeColor="text1" w:themeTint="F2"/>
        </w:rPr>
        <w:t>r</w:t>
      </w:r>
      <w:r w:rsidR="00373BF8" w:rsidRPr="00BF7C23">
        <w:rPr>
          <w:color w:val="0D0D0D" w:themeColor="text1" w:themeTint="F2"/>
        </w:rPr>
        <w:t xml:space="preserve"> (per </w:t>
      </w:r>
      <w:r w:rsidR="009A313D" w:rsidRPr="00BF7C23">
        <w:rPr>
          <w:color w:val="0D0D0D" w:themeColor="text1" w:themeTint="F2"/>
        </w:rPr>
        <w:t>quarter</w:t>
      </w:r>
      <w:r w:rsidR="00373BF8" w:rsidRPr="00BF7C23">
        <w:rPr>
          <w:color w:val="0D0D0D" w:themeColor="text1" w:themeTint="F2"/>
        </w:rPr>
        <w:t>)</w:t>
      </w:r>
      <w:r w:rsidR="0074078A" w:rsidRPr="00BF7C23">
        <w:rPr>
          <w:color w:val="0D0D0D" w:themeColor="text1" w:themeTint="F2"/>
        </w:rPr>
        <w:t xml:space="preserve"> </w:t>
      </w:r>
      <w:r w:rsidR="00373BF8" w:rsidRPr="00BF7C23">
        <w:rPr>
          <w:color w:val="0D0D0D" w:themeColor="text1" w:themeTint="F2"/>
        </w:rPr>
        <w:t xml:space="preserve">= </w:t>
      </w:r>
      <w:r w:rsidR="0071738A" w:rsidRPr="00BF7C23">
        <w:rPr>
          <w:color w:val="0D0D0D" w:themeColor="text1" w:themeTint="F2"/>
        </w:rPr>
        <w:t>0</w:t>
      </w:r>
      <w:r w:rsidR="002039F6" w:rsidRPr="00BF7C23">
        <w:rPr>
          <w:color w:val="0D0D0D" w:themeColor="text1" w:themeTint="F2"/>
        </w:rPr>
        <w:t>.</w:t>
      </w:r>
      <w:r w:rsidR="00373BF8" w:rsidRPr="00BF7C23">
        <w:rPr>
          <w:color w:val="0D0D0D" w:themeColor="text1" w:themeTint="F2"/>
        </w:rPr>
        <w:t>4</w:t>
      </w:r>
      <w:r w:rsidR="009A313D" w:rsidRPr="00BF7C23">
        <w:rPr>
          <w:color w:val="0D0D0D" w:themeColor="text1" w:themeTint="F2"/>
        </w:rPr>
        <w:t>,</w:t>
      </w:r>
      <w:r w:rsidR="00373BF8" w:rsidRPr="00BF7C23">
        <w:rPr>
          <w:color w:val="0D0D0D" w:themeColor="text1" w:themeTint="F2"/>
        </w:rPr>
        <w:t xml:space="preserve"> </w:t>
      </w:r>
      <w:r w:rsidR="00010E7B" w:rsidRPr="00BF7C23">
        <w:rPr>
          <w:color w:val="0D0D0D" w:themeColor="text1" w:themeTint="F2"/>
        </w:rPr>
        <w:t xml:space="preserve">the </w:t>
      </w:r>
      <w:r w:rsidR="009A313D" w:rsidRPr="00BF7C23">
        <w:rPr>
          <w:color w:val="0D0D0D" w:themeColor="text1" w:themeTint="F2"/>
        </w:rPr>
        <w:t>call</w:t>
      </w:r>
      <w:r w:rsidR="0078246A" w:rsidRPr="00BF7C23">
        <w:rPr>
          <w:color w:val="0D0D0D" w:themeColor="text1" w:themeTint="F2"/>
        </w:rPr>
        <w:t xml:space="preserve"> price </w:t>
      </w:r>
      <w:r w:rsidR="00DA6459" w:rsidRPr="00BF7C23">
        <w:rPr>
          <w:i/>
          <w:iCs/>
          <w:color w:val="0D0D0D" w:themeColor="text1" w:themeTint="F2"/>
        </w:rPr>
        <w:t xml:space="preserve">I </w:t>
      </w:r>
      <w:r w:rsidR="0078246A" w:rsidRPr="00BF7C23">
        <w:rPr>
          <w:color w:val="0D0D0D" w:themeColor="text1" w:themeTint="F2"/>
        </w:rPr>
        <w:t>= 104</w:t>
      </w:r>
      <w:r w:rsidR="00010E7B" w:rsidRPr="00BF7C23">
        <w:rPr>
          <w:color w:val="0D0D0D" w:themeColor="text1" w:themeTint="F2"/>
        </w:rPr>
        <w:t>.</w:t>
      </w:r>
      <w:r w:rsidR="0078246A" w:rsidRPr="00BF7C23">
        <w:rPr>
          <w:color w:val="0D0D0D" w:themeColor="text1" w:themeTint="F2"/>
        </w:rPr>
        <w:t xml:space="preserve"> </w:t>
      </w:r>
      <w:r w:rsidR="00DA6459" w:rsidRPr="00BF7C23">
        <w:rPr>
          <w:color w:val="0D0D0D" w:themeColor="text1" w:themeTint="F2"/>
        </w:rPr>
        <w:t>T</w:t>
      </w:r>
      <w:r w:rsidR="00010E7B" w:rsidRPr="00BF7C23">
        <w:rPr>
          <w:color w:val="0D0D0D" w:themeColor="text1" w:themeTint="F2"/>
        </w:rPr>
        <w:t>he value with the option to defer (implicit in the lockdown) has asymmetrically altered the structure of the payoffs</w:t>
      </w:r>
      <w:r w:rsidR="00DA6459" w:rsidRPr="00BF7C23">
        <w:rPr>
          <w:color w:val="0D0D0D" w:themeColor="text1" w:themeTint="F2"/>
        </w:rPr>
        <w:t>.</w:t>
      </w:r>
      <w:r w:rsidR="00010E7B" w:rsidRPr="00BF7C23">
        <w:rPr>
          <w:color w:val="0D0D0D" w:themeColor="text1" w:themeTint="F2"/>
        </w:rPr>
        <w:t xml:space="preserve"> </w:t>
      </w:r>
      <w:r w:rsidR="00DA6459" w:rsidRPr="00BF7C23">
        <w:rPr>
          <w:color w:val="0D0D0D" w:themeColor="text1" w:themeTint="F2"/>
        </w:rPr>
        <w:t>T</w:t>
      </w:r>
      <w:r w:rsidR="00010E7B" w:rsidRPr="00BF7C23">
        <w:rPr>
          <w:color w:val="0D0D0D" w:themeColor="text1" w:themeTint="F2"/>
        </w:rPr>
        <w:t>he</w:t>
      </w:r>
      <w:r w:rsidR="00DA6459" w:rsidRPr="00BF7C23">
        <w:rPr>
          <w:color w:val="0D0D0D" w:themeColor="text1" w:themeTint="F2"/>
        </w:rPr>
        <w:t>n</w:t>
      </w:r>
      <w:r w:rsidR="00010E7B" w:rsidRPr="00BF7C23">
        <w:rPr>
          <w:color w:val="0D0D0D" w:themeColor="text1" w:themeTint="F2"/>
        </w:rPr>
        <w:t xml:space="preserve"> </w:t>
      </w:r>
      <w:r w:rsidR="00DA6459" w:rsidRPr="00BF7C23">
        <w:rPr>
          <w:color w:val="0D0D0D" w:themeColor="text1" w:themeTint="F2"/>
        </w:rPr>
        <w:t xml:space="preserve">the </w:t>
      </w:r>
      <w:r w:rsidR="0074078A" w:rsidRPr="00BF7C23">
        <w:rPr>
          <w:color w:val="0D0D0D" w:themeColor="text1" w:themeTint="F2"/>
        </w:rPr>
        <w:t>estimated option value</w:t>
      </w:r>
      <w:r w:rsidR="00307647" w:rsidRPr="00BF7C23">
        <w:rPr>
          <w:color w:val="0D0D0D" w:themeColor="text1" w:themeTint="F2"/>
        </w:rPr>
        <w:t xml:space="preserve"> would</w:t>
      </w:r>
      <w:r w:rsidR="0074078A" w:rsidRPr="00BF7C23">
        <w:rPr>
          <w:color w:val="0D0D0D" w:themeColor="text1" w:themeTint="F2"/>
        </w:rPr>
        <w:t xml:space="preserve"> </w:t>
      </w:r>
      <w:r w:rsidR="00010E7B" w:rsidRPr="00BF7C23">
        <w:rPr>
          <w:color w:val="0D0D0D" w:themeColor="text1" w:themeTint="F2"/>
        </w:rPr>
        <w:t xml:space="preserve">suggest that instead of paying </w:t>
      </w:r>
      <w:r w:rsidR="009A3B79">
        <w:rPr>
          <w:color w:val="0D0D0D" w:themeColor="text1" w:themeTint="F2"/>
        </w:rPr>
        <w:t>for the cost of investment (</w:t>
      </w:r>
      <w:r w:rsidR="008E72D0">
        <w:rPr>
          <w:color w:val="0D0D0D" w:themeColor="text1" w:themeTint="F2"/>
        </w:rPr>
        <w:t xml:space="preserve">£ </w:t>
      </w:r>
      <w:r w:rsidR="00010E7B" w:rsidRPr="00BF7C23">
        <w:rPr>
          <w:color w:val="0D0D0D" w:themeColor="text1" w:themeTint="F2"/>
        </w:rPr>
        <w:t>million</w:t>
      </w:r>
      <w:r w:rsidR="009A3B79">
        <w:rPr>
          <w:color w:val="0D0D0D" w:themeColor="text1" w:themeTint="F2"/>
        </w:rPr>
        <w:t>)</w:t>
      </w:r>
      <w:r w:rsidR="00010E7B" w:rsidRPr="00BF7C23">
        <w:rPr>
          <w:color w:val="0D0D0D" w:themeColor="text1" w:themeTint="F2"/>
        </w:rPr>
        <w:t xml:space="preserve"> immediately, </w:t>
      </w:r>
      <w:r w:rsidR="009A3B79">
        <w:rPr>
          <w:color w:val="0D0D0D" w:themeColor="text1" w:themeTint="F2"/>
        </w:rPr>
        <w:t xml:space="preserve">the </w:t>
      </w:r>
      <w:r w:rsidR="0074078A" w:rsidRPr="00BF7C23">
        <w:rPr>
          <w:color w:val="0D0D0D" w:themeColor="text1" w:themeTint="F2"/>
        </w:rPr>
        <w:t>optim</w:t>
      </w:r>
      <w:r w:rsidR="009A3B79">
        <w:rPr>
          <w:color w:val="0D0D0D" w:themeColor="text1" w:themeTint="F2"/>
        </w:rPr>
        <w:t>al</w:t>
      </w:r>
      <w:r w:rsidR="0074078A" w:rsidRPr="00BF7C23">
        <w:rPr>
          <w:color w:val="0D0D0D" w:themeColor="text1" w:themeTint="F2"/>
        </w:rPr>
        <w:t xml:space="preserve"> defer</w:t>
      </w:r>
      <w:r w:rsidR="00F92453">
        <w:rPr>
          <w:color w:val="0D0D0D" w:themeColor="text1" w:themeTint="F2"/>
        </w:rPr>
        <w:t xml:space="preserve"> </w:t>
      </w:r>
      <w:r w:rsidR="0074078A" w:rsidRPr="00BF7C23">
        <w:rPr>
          <w:color w:val="0D0D0D" w:themeColor="text1" w:themeTint="F2"/>
        </w:rPr>
        <w:t>(until the gross value of the project is roughly twice of the investment cost</w:t>
      </w:r>
      <w:r w:rsidR="00AB3DBB">
        <w:rPr>
          <w:color w:val="0D0D0D" w:themeColor="text1" w:themeTint="F2"/>
        </w:rPr>
        <w:t>)</w:t>
      </w:r>
      <w:r w:rsidR="009A3B79">
        <w:rPr>
          <w:color w:val="0D0D0D" w:themeColor="text1" w:themeTint="F2"/>
        </w:rPr>
        <w:t xml:space="preserve"> wou</w:t>
      </w:r>
      <w:r w:rsidR="00BE0F13">
        <w:rPr>
          <w:color w:val="0D0D0D" w:themeColor="text1" w:themeTint="F2"/>
        </w:rPr>
        <w:t>l</w:t>
      </w:r>
      <w:r w:rsidR="009A3B79">
        <w:rPr>
          <w:color w:val="0D0D0D" w:themeColor="text1" w:themeTint="F2"/>
        </w:rPr>
        <w:t xml:space="preserve">d be advantageous </w:t>
      </w:r>
      <w:r w:rsidR="00DA6459" w:rsidRPr="00BF7C23">
        <w:rPr>
          <w:color w:val="0D0D0D" w:themeColor="text1" w:themeTint="F2"/>
        </w:rPr>
        <w:t>because</w:t>
      </w:r>
      <w:r w:rsidR="00AA46C7">
        <w:rPr>
          <w:color w:val="0D0D0D" w:themeColor="text1" w:themeTint="F2"/>
        </w:rPr>
        <w:t xml:space="preserve"> the deferral drives value growth in</w:t>
      </w:r>
      <w:r w:rsidR="0074078A" w:rsidRPr="00BF7C23">
        <w:rPr>
          <w:color w:val="0D0D0D" w:themeColor="text1" w:themeTint="F2"/>
        </w:rPr>
        <w:t xml:space="preserve"> </w:t>
      </w:r>
      <w:r w:rsidR="008E72D0">
        <w:rPr>
          <w:color w:val="0D0D0D" w:themeColor="text1" w:themeTint="F2"/>
        </w:rPr>
        <w:t xml:space="preserve">both government </w:t>
      </w:r>
      <w:r w:rsidR="000E6B61">
        <w:rPr>
          <w:color w:val="0D0D0D" w:themeColor="text1" w:themeTint="F2"/>
        </w:rPr>
        <w:t>project and benefit</w:t>
      </w:r>
      <w:r w:rsidR="008E72D0">
        <w:rPr>
          <w:color w:val="0D0D0D" w:themeColor="text1" w:themeTint="F2"/>
        </w:rPr>
        <w:t>s</w:t>
      </w:r>
      <w:r w:rsidR="000E6B61">
        <w:rPr>
          <w:color w:val="0D0D0D" w:themeColor="text1" w:themeTint="F2"/>
        </w:rPr>
        <w:t xml:space="preserve"> of </w:t>
      </w:r>
      <w:r w:rsidR="00BE0F13">
        <w:rPr>
          <w:color w:val="0D0D0D" w:themeColor="text1" w:themeTint="F2"/>
        </w:rPr>
        <w:t xml:space="preserve">the </w:t>
      </w:r>
      <w:r w:rsidR="000E6B61">
        <w:rPr>
          <w:color w:val="0D0D0D" w:themeColor="text1" w:themeTint="F2"/>
        </w:rPr>
        <w:t xml:space="preserve">corporate sector, given the reason we provided </w:t>
      </w:r>
      <w:r w:rsidR="001F1D7C">
        <w:rPr>
          <w:color w:val="0D0D0D" w:themeColor="text1" w:themeTint="F2"/>
        </w:rPr>
        <w:t>(Sn2, p. 10</w:t>
      </w:r>
      <w:r w:rsidR="008E72D0">
        <w:rPr>
          <w:color w:val="0D0D0D" w:themeColor="text1" w:themeTint="F2"/>
        </w:rPr>
        <w:t>, and p.16</w:t>
      </w:r>
      <w:r w:rsidR="001F1D7C">
        <w:rPr>
          <w:color w:val="0D0D0D" w:themeColor="text1" w:themeTint="F2"/>
        </w:rPr>
        <w:t>)</w:t>
      </w:r>
      <w:r w:rsidR="000E6B61">
        <w:rPr>
          <w:color w:val="0D0D0D" w:themeColor="text1" w:themeTint="F2"/>
        </w:rPr>
        <w:t xml:space="preserve">. This leads to our first Hypothesises: </w:t>
      </w:r>
    </w:p>
    <w:p w14:paraId="29B08A1E" w14:textId="5A8A492C" w:rsidR="006610D7" w:rsidRPr="00AE6602" w:rsidRDefault="000E6B61" w:rsidP="00AE6602">
      <w:pPr>
        <w:spacing w:before="120" w:line="480" w:lineRule="auto"/>
        <w:ind w:left="426"/>
        <w:jc w:val="both"/>
        <w:rPr>
          <w:i/>
          <w:iCs/>
          <w:color w:val="000000" w:themeColor="text1"/>
        </w:rPr>
      </w:pPr>
      <w:r w:rsidRPr="00AE6602">
        <w:rPr>
          <w:i/>
          <w:iCs/>
          <w:color w:val="0D0D0D" w:themeColor="text1" w:themeTint="F2"/>
        </w:rPr>
        <w:t xml:space="preserve">H1: </w:t>
      </w:r>
      <w:r w:rsidR="008006FD">
        <w:rPr>
          <w:i/>
          <w:iCs/>
          <w:color w:val="0D0D0D" w:themeColor="text1" w:themeTint="F2"/>
        </w:rPr>
        <w:t xml:space="preserve">When the </w:t>
      </w:r>
      <w:r w:rsidR="001A7FA2">
        <w:rPr>
          <w:i/>
          <w:iCs/>
          <w:color w:val="0D0D0D" w:themeColor="text1" w:themeTint="F2"/>
        </w:rPr>
        <w:t xml:space="preserve">equilibrium of </w:t>
      </w:r>
      <w:r w:rsidR="006610D7" w:rsidRPr="00AE6602">
        <w:rPr>
          <w:i/>
          <w:iCs/>
          <w:color w:val="0D0D0D" w:themeColor="text1" w:themeTint="F2"/>
        </w:rPr>
        <w:t>D</w:t>
      </w:r>
      <w:r w:rsidR="0073554F" w:rsidRPr="00AE6602">
        <w:rPr>
          <w:i/>
          <w:iCs/>
          <w:color w:val="0D0D0D" w:themeColor="text1" w:themeTint="F2"/>
        </w:rPr>
        <w:t>efer</w:t>
      </w:r>
      <w:r w:rsidR="00B8044A" w:rsidRPr="00AE6602">
        <w:rPr>
          <w:i/>
          <w:iCs/>
          <w:color w:val="0D0D0D" w:themeColor="text1" w:themeTint="F2"/>
        </w:rPr>
        <w:t xml:space="preserve"> premium</w:t>
      </w:r>
      <w:r w:rsidR="006610D7" w:rsidRPr="00AE6602">
        <w:rPr>
          <w:i/>
          <w:iCs/>
          <w:color w:val="0D0D0D" w:themeColor="text1" w:themeTint="F2"/>
        </w:rPr>
        <w:t xml:space="preserve"> </w:t>
      </w:r>
      <w:r w:rsidR="00B8044A" w:rsidRPr="00AE6602">
        <w:rPr>
          <w:i/>
          <w:iCs/>
          <w:color w:val="0D0D0D" w:themeColor="text1" w:themeTint="F2"/>
        </w:rPr>
        <w:t>=</w:t>
      </w:r>
      <w:r w:rsidR="006610D7" w:rsidRPr="00AE6602">
        <w:rPr>
          <w:i/>
          <w:iCs/>
          <w:color w:val="0D0D0D" w:themeColor="text1" w:themeTint="F2"/>
        </w:rPr>
        <w:t xml:space="preserve"> E</w:t>
      </w:r>
      <w:r w:rsidR="00B8044A" w:rsidRPr="00AE6602">
        <w:rPr>
          <w:i/>
          <w:iCs/>
          <w:color w:val="0D0D0D" w:themeColor="text1" w:themeTint="F2"/>
        </w:rPr>
        <w:t xml:space="preserve">xpanded </w:t>
      </w:r>
      <w:r w:rsidR="006D74C2" w:rsidRPr="00AE6602">
        <w:rPr>
          <w:i/>
          <w:iCs/>
          <w:color w:val="0D0D0D" w:themeColor="text1" w:themeTint="F2"/>
        </w:rPr>
        <w:t xml:space="preserve">non present value (NPV) </w:t>
      </w:r>
      <w:r w:rsidR="00B8044A" w:rsidRPr="00AE6602">
        <w:rPr>
          <w:i/>
          <w:iCs/>
          <w:color w:val="0D0D0D" w:themeColor="text1" w:themeTint="F2"/>
        </w:rPr>
        <w:t>-</w:t>
      </w:r>
      <w:r w:rsidR="00402F96" w:rsidRPr="00AE6602">
        <w:rPr>
          <w:i/>
          <w:iCs/>
          <w:color w:val="0D0D0D" w:themeColor="text1" w:themeTint="F2"/>
        </w:rPr>
        <w:t>P</w:t>
      </w:r>
      <w:r w:rsidR="00B8044A" w:rsidRPr="00AE6602">
        <w:rPr>
          <w:i/>
          <w:iCs/>
          <w:color w:val="0D0D0D" w:themeColor="text1" w:themeTint="F2"/>
        </w:rPr>
        <w:t xml:space="preserve">assive </w:t>
      </w:r>
      <w:r w:rsidR="006D74C2" w:rsidRPr="00AE6602">
        <w:rPr>
          <w:i/>
          <w:iCs/>
          <w:color w:val="0D0D0D" w:themeColor="text1" w:themeTint="F2"/>
        </w:rPr>
        <w:t>NPV</w:t>
      </w:r>
      <w:r w:rsidR="00C2490D" w:rsidRPr="00AE6602">
        <w:rPr>
          <w:i/>
          <w:iCs/>
          <w:color w:val="0D0D0D" w:themeColor="text1" w:themeTint="F2"/>
        </w:rPr>
        <w:t xml:space="preserve"> </w:t>
      </w:r>
      <w:r w:rsidR="006610D7" w:rsidRPr="00AE6602">
        <w:rPr>
          <w:i/>
          <w:iCs/>
          <w:color w:val="0D0D0D" w:themeColor="text1" w:themeTint="F2"/>
        </w:rPr>
        <w:t xml:space="preserve">based </w:t>
      </w:r>
      <w:r w:rsidR="008006FD">
        <w:rPr>
          <w:i/>
          <w:iCs/>
          <w:color w:val="0D0D0D" w:themeColor="text1" w:themeTint="F2"/>
        </w:rPr>
        <w:t>is a positive</w:t>
      </w:r>
      <w:r w:rsidR="008006FD">
        <w:rPr>
          <w:i/>
          <w:iCs/>
          <w:color w:val="000000" w:themeColor="text1"/>
        </w:rPr>
        <w:t xml:space="preserve"> value, the</w:t>
      </w:r>
      <w:r w:rsidR="00562D12" w:rsidRPr="00107634">
        <w:rPr>
          <w:i/>
          <w:iCs/>
          <w:color w:val="000000" w:themeColor="text1"/>
        </w:rPr>
        <w:t xml:space="preserve"> defer</w:t>
      </w:r>
      <w:r w:rsidR="008006FD">
        <w:rPr>
          <w:i/>
          <w:iCs/>
          <w:color w:val="000000" w:themeColor="text1"/>
        </w:rPr>
        <w:t>ral</w:t>
      </w:r>
      <w:r w:rsidR="00562D12">
        <w:rPr>
          <w:i/>
          <w:iCs/>
          <w:color w:val="000000" w:themeColor="text1"/>
        </w:rPr>
        <w:t xml:space="preserve"> </w:t>
      </w:r>
      <w:r w:rsidR="008D0908">
        <w:rPr>
          <w:i/>
          <w:iCs/>
          <w:color w:val="000000" w:themeColor="text1"/>
        </w:rPr>
        <w:t xml:space="preserve">will be </w:t>
      </w:r>
      <w:r w:rsidR="00562D12">
        <w:rPr>
          <w:i/>
          <w:iCs/>
          <w:color w:val="000000" w:themeColor="text1"/>
        </w:rPr>
        <w:t xml:space="preserve">a </w:t>
      </w:r>
      <w:r w:rsidR="00562D12" w:rsidRPr="00107634">
        <w:rPr>
          <w:i/>
          <w:iCs/>
          <w:color w:val="000000" w:themeColor="text1"/>
        </w:rPr>
        <w:t>significant</w:t>
      </w:r>
      <w:r w:rsidR="00562D12">
        <w:rPr>
          <w:i/>
          <w:iCs/>
          <w:color w:val="000000" w:themeColor="text1"/>
        </w:rPr>
        <w:t xml:space="preserve"> option</w:t>
      </w:r>
      <w:r w:rsidR="00562D12" w:rsidRPr="00107634">
        <w:rPr>
          <w:i/>
          <w:iCs/>
          <w:color w:val="000000" w:themeColor="text1"/>
        </w:rPr>
        <w:t>,</w:t>
      </w:r>
      <w:r w:rsidR="008006FD">
        <w:rPr>
          <w:i/>
          <w:iCs/>
          <w:color w:val="000000" w:themeColor="text1"/>
        </w:rPr>
        <w:t xml:space="preserve"> and hence it is</w:t>
      </w:r>
      <w:r w:rsidR="00562D12" w:rsidRPr="00107634">
        <w:rPr>
          <w:i/>
          <w:iCs/>
          <w:color w:val="000000" w:themeColor="text1"/>
        </w:rPr>
        <w:t xml:space="preserve"> optimal to defer</w:t>
      </w:r>
      <w:r w:rsidR="008D0908">
        <w:rPr>
          <w:i/>
          <w:iCs/>
          <w:color w:val="000000" w:themeColor="text1"/>
        </w:rPr>
        <w:t>.</w:t>
      </w:r>
      <w:r w:rsidR="00562D12" w:rsidRPr="00562D12" w:rsidDel="000E6B61">
        <w:rPr>
          <w:i/>
          <w:iCs/>
          <w:color w:val="000000" w:themeColor="text1"/>
        </w:rPr>
        <w:t xml:space="preserve"> </w:t>
      </w:r>
    </w:p>
    <w:p w14:paraId="39A088CE" w14:textId="4318E1FF" w:rsidR="000E6B61" w:rsidRPr="006610D7" w:rsidRDefault="000E6B61" w:rsidP="009D468A">
      <w:pPr>
        <w:spacing w:before="120" w:line="480" w:lineRule="auto"/>
        <w:jc w:val="both"/>
        <w:rPr>
          <w:color w:val="000000" w:themeColor="text1"/>
        </w:rPr>
      </w:pPr>
      <w:r w:rsidRPr="00AE6602">
        <w:rPr>
          <w:i/>
          <w:iCs/>
          <w:color w:val="000000" w:themeColor="text1"/>
        </w:rPr>
        <w:t>Proof</w:t>
      </w:r>
      <w:r w:rsidR="00C9239A">
        <w:rPr>
          <w:color w:val="000000" w:themeColor="text1"/>
        </w:rPr>
        <w:t xml:space="preserve"> 1</w:t>
      </w:r>
      <w:r>
        <w:rPr>
          <w:color w:val="000000" w:themeColor="text1"/>
        </w:rPr>
        <w:t xml:space="preserve">: </w:t>
      </w:r>
      <w:r w:rsidRPr="00AE6602">
        <w:rPr>
          <w:color w:val="000000" w:themeColor="text1"/>
        </w:rPr>
        <w:t>Project A,</w:t>
      </w:r>
      <w:r w:rsidR="00BE0F13">
        <w:rPr>
          <w:i/>
          <w:iCs/>
          <w:color w:val="000000" w:themeColor="text1"/>
        </w:rPr>
        <w:t xml:space="preserve"> </w:t>
      </w:r>
      <w:r>
        <w:t>P</w:t>
      </w:r>
      <w:r w:rsidRPr="005D2351">
        <w:t xml:space="preserve">hase 1 </w:t>
      </w:r>
      <w:r>
        <w:t>consists of attempts to stem the transmission of the virus using l</w:t>
      </w:r>
      <w:r w:rsidRPr="005D2351">
        <w:t>ockdown</w:t>
      </w:r>
      <w:r>
        <w:t>s</w:t>
      </w:r>
      <w:r w:rsidRPr="005D2351">
        <w:t xml:space="preserve"> and circuit breakers, which provide the option to delay while gathering information and undertaking vaccine discovery.</w:t>
      </w:r>
      <w:r>
        <w:t xml:space="preserve"> </w:t>
      </w:r>
      <w:r w:rsidR="00562D12">
        <w:t xml:space="preserve">Then </w:t>
      </w:r>
      <w:r w:rsidRPr="005D2351">
        <w:t xml:space="preserve">A favourable outcome </w:t>
      </w:r>
      <w:r>
        <w:t>from Phase 1</w:t>
      </w:r>
      <w:r w:rsidRPr="005D2351">
        <w:t xml:space="preserve"> would be significant</w:t>
      </w:r>
      <w:r>
        <w:t>ly</w:t>
      </w:r>
      <w:r w:rsidRPr="005D2351">
        <w:t xml:space="preserve"> reduc</w:t>
      </w:r>
      <w:r>
        <w:t xml:space="preserve">ed virus </w:t>
      </w:r>
      <w:r w:rsidRPr="005D2351">
        <w:t xml:space="preserve">transmission </w:t>
      </w:r>
      <w:r>
        <w:t>rates c</w:t>
      </w:r>
      <w:r w:rsidRPr="005D2351">
        <w:t>oupled with successful vaccine discovery</w:t>
      </w:r>
      <w:r>
        <w:t xml:space="preserve">. </w:t>
      </w:r>
      <w:r w:rsidR="00C9239A">
        <w:t>And</w:t>
      </w:r>
      <w:r w:rsidR="008D0908">
        <w:t xml:space="preserve"> </w:t>
      </w:r>
      <w:r w:rsidR="008D0908">
        <w:lastRenderedPageBreak/>
        <w:t>i</w:t>
      </w:r>
      <w:r>
        <w:t>n response to a f</w:t>
      </w:r>
      <w:r w:rsidRPr="005D2351">
        <w:t xml:space="preserve">avourable </w:t>
      </w:r>
      <w:r>
        <w:t xml:space="preserve">Phase 1 </w:t>
      </w:r>
      <w:r w:rsidRPr="005D2351">
        <w:t>outcome,</w:t>
      </w:r>
      <w:r>
        <w:t xml:space="preserve"> Phase 2 could see the gradual </w:t>
      </w:r>
      <w:r w:rsidRPr="005D2351">
        <w:t>relax</w:t>
      </w:r>
      <w:r>
        <w:t>ation of</w:t>
      </w:r>
      <w:r w:rsidRPr="005D2351">
        <w:t xml:space="preserve"> lockdown measures and </w:t>
      </w:r>
      <w:r>
        <w:t xml:space="preserve">the </w:t>
      </w:r>
      <w:r w:rsidRPr="005D2351">
        <w:t>scal</w:t>
      </w:r>
      <w:r>
        <w:t>ing</w:t>
      </w:r>
      <w:r w:rsidRPr="005D2351">
        <w:t xml:space="preserve"> up </w:t>
      </w:r>
      <w:r>
        <w:t xml:space="preserve">of </w:t>
      </w:r>
      <w:r w:rsidRPr="005D2351">
        <w:t>the vaccination program</w:t>
      </w:r>
      <w:r w:rsidR="00C9239A">
        <w:t xml:space="preserve"> for option two: growth </w:t>
      </w:r>
      <w:r w:rsidR="008D0908">
        <w:t>opportunities</w:t>
      </w:r>
      <w:r w:rsidRPr="005D2351">
        <w:t>.</w:t>
      </w:r>
      <w:r>
        <w:t xml:space="preserve"> </w:t>
      </w:r>
    </w:p>
    <w:p w14:paraId="74AF5B90" w14:textId="4781527C" w:rsidR="00B8044A" w:rsidRPr="007644FF" w:rsidRDefault="00B8044A" w:rsidP="009D468A">
      <w:pPr>
        <w:keepNext/>
        <w:spacing w:before="120" w:line="480" w:lineRule="auto"/>
        <w:jc w:val="both"/>
        <w:outlineLvl w:val="2"/>
        <w:rPr>
          <w:bCs/>
          <w:i/>
        </w:rPr>
      </w:pPr>
      <w:bookmarkStart w:id="4" w:name="_Toc182909446"/>
      <w:bookmarkStart w:id="5" w:name="_Toc182975582"/>
      <w:bookmarkStart w:id="6" w:name="_Toc196931609"/>
      <w:r w:rsidRPr="007644FF">
        <w:rPr>
          <w:bCs/>
          <w:i/>
        </w:rPr>
        <w:t xml:space="preserve">The </w:t>
      </w:r>
      <w:r w:rsidR="00E748DA" w:rsidRPr="007644FF">
        <w:rPr>
          <w:bCs/>
          <w:i/>
        </w:rPr>
        <w:t>o</w:t>
      </w:r>
      <w:r w:rsidRPr="007644FF">
        <w:rPr>
          <w:bCs/>
          <w:i/>
        </w:rPr>
        <w:t xml:space="preserve">ption to </w:t>
      </w:r>
      <w:r w:rsidR="00E748DA" w:rsidRPr="007644FF">
        <w:rPr>
          <w:bCs/>
          <w:i/>
        </w:rPr>
        <w:t>e</w:t>
      </w:r>
      <w:r w:rsidRPr="007644FF">
        <w:rPr>
          <w:bCs/>
          <w:i/>
        </w:rPr>
        <w:t>xpand</w:t>
      </w:r>
      <w:bookmarkEnd w:id="4"/>
      <w:bookmarkEnd w:id="5"/>
      <w:bookmarkEnd w:id="6"/>
      <w:r w:rsidRPr="007644FF">
        <w:rPr>
          <w:bCs/>
          <w:i/>
        </w:rPr>
        <w:t xml:space="preserve">   </w:t>
      </w:r>
    </w:p>
    <w:p w14:paraId="3BDED486" w14:textId="7E13734D" w:rsidR="001774CB" w:rsidRPr="00C03FEB" w:rsidRDefault="00C9239A" w:rsidP="00AE6602">
      <w:pPr>
        <w:autoSpaceDE w:val="0"/>
        <w:autoSpaceDN w:val="0"/>
        <w:adjustRightInd w:val="0"/>
        <w:spacing w:before="120" w:line="480" w:lineRule="auto"/>
        <w:jc w:val="both"/>
        <w:rPr>
          <w:color w:val="000000" w:themeColor="text1"/>
        </w:rPr>
      </w:pPr>
      <w:r>
        <w:t>N</w:t>
      </w:r>
      <w:r w:rsidR="00E91472">
        <w:t xml:space="preserve">ow we are thinking </w:t>
      </w:r>
      <w:r w:rsidR="008D0908">
        <w:t xml:space="preserve">of </w:t>
      </w:r>
      <w:r w:rsidR="00E91472">
        <w:t>expand</w:t>
      </w:r>
      <w:r w:rsidR="00C448FC">
        <w:t>ing</w:t>
      </w:r>
      <w:r w:rsidR="00E91472">
        <w:t xml:space="preserve"> option </w:t>
      </w:r>
      <w:r>
        <w:rPr>
          <w:bCs/>
          <w:iCs/>
          <w:color w:val="000000" w:themeColor="text1"/>
        </w:rPr>
        <w:t>given</w:t>
      </w:r>
      <w:r w:rsidR="00402F96">
        <w:rPr>
          <w:bCs/>
          <w:iCs/>
          <w:color w:val="000000" w:themeColor="text1"/>
        </w:rPr>
        <w:t xml:space="preserve"> government sector</w:t>
      </w:r>
      <w:r w:rsidR="001A7FA2">
        <w:rPr>
          <w:bCs/>
          <w:iCs/>
          <w:color w:val="000000" w:themeColor="text1"/>
        </w:rPr>
        <w:t>,</w:t>
      </w:r>
      <w:r w:rsidR="00402F96">
        <w:rPr>
          <w:bCs/>
          <w:iCs/>
          <w:color w:val="000000" w:themeColor="text1"/>
        </w:rPr>
        <w:t xml:space="preserve"> </w:t>
      </w:r>
      <w:r w:rsidR="001A7FA2">
        <w:rPr>
          <w:bCs/>
          <w:iCs/>
          <w:color w:val="000000" w:themeColor="text1"/>
        </w:rPr>
        <w:t>Project B.</w:t>
      </w:r>
      <w:r w:rsidR="00402F96">
        <w:rPr>
          <w:bCs/>
          <w:iCs/>
          <w:color w:val="000000" w:themeColor="text1"/>
        </w:rPr>
        <w:t xml:space="preserve"> </w:t>
      </w:r>
      <w:r w:rsidR="001A7FA2">
        <w:rPr>
          <w:bCs/>
          <w:iCs/>
          <w:color w:val="000000" w:themeColor="text1"/>
        </w:rPr>
        <w:t>D</w:t>
      </w:r>
      <w:r w:rsidR="00867702">
        <w:rPr>
          <w:bCs/>
          <w:iCs/>
          <w:color w:val="000000" w:themeColor="text1"/>
        </w:rPr>
        <w:t>uring th</w:t>
      </w:r>
      <w:r w:rsidR="00CA452C">
        <w:rPr>
          <w:bCs/>
          <w:iCs/>
          <w:color w:val="000000" w:themeColor="text1"/>
        </w:rPr>
        <w:t>e lockdown from 16</w:t>
      </w:r>
      <w:r w:rsidR="00923B7B">
        <w:rPr>
          <w:bCs/>
          <w:iCs/>
          <w:color w:val="000000" w:themeColor="text1"/>
        </w:rPr>
        <w:t>th</w:t>
      </w:r>
      <w:r w:rsidR="00CA452C">
        <w:rPr>
          <w:bCs/>
          <w:iCs/>
          <w:color w:val="000000" w:themeColor="text1"/>
        </w:rPr>
        <w:t xml:space="preserve"> March 2020 to 8</w:t>
      </w:r>
      <w:r w:rsidR="00CA452C" w:rsidRPr="00F126B9">
        <w:rPr>
          <w:bCs/>
          <w:iCs/>
          <w:color w:val="000000" w:themeColor="text1"/>
          <w:vertAlign w:val="superscript"/>
        </w:rPr>
        <w:t>th</w:t>
      </w:r>
      <w:r w:rsidR="00CA452C">
        <w:rPr>
          <w:bCs/>
          <w:iCs/>
          <w:color w:val="000000" w:themeColor="text1"/>
        </w:rPr>
        <w:t xml:space="preserve"> March 2021</w:t>
      </w:r>
      <w:r w:rsidR="00C41DEE">
        <w:rPr>
          <w:bCs/>
          <w:iCs/>
          <w:color w:val="000000" w:themeColor="text1"/>
        </w:rPr>
        <w:t xml:space="preserve">, </w:t>
      </w:r>
      <w:r w:rsidR="00867702">
        <w:rPr>
          <w:bCs/>
          <w:iCs/>
          <w:color w:val="000000" w:themeColor="text1"/>
        </w:rPr>
        <w:t xml:space="preserve">the UK </w:t>
      </w:r>
      <w:r w:rsidR="00577066">
        <w:rPr>
          <w:bCs/>
          <w:iCs/>
          <w:color w:val="000000" w:themeColor="text1"/>
        </w:rPr>
        <w:t>v</w:t>
      </w:r>
      <w:r w:rsidR="00867702">
        <w:rPr>
          <w:bCs/>
          <w:iCs/>
          <w:color w:val="000000" w:themeColor="text1"/>
        </w:rPr>
        <w:t xml:space="preserve">accine </w:t>
      </w:r>
      <w:r w:rsidR="00577066">
        <w:rPr>
          <w:bCs/>
          <w:iCs/>
          <w:color w:val="000000" w:themeColor="text1"/>
        </w:rPr>
        <w:t>r</w:t>
      </w:r>
      <w:r w:rsidR="00867702">
        <w:rPr>
          <w:bCs/>
          <w:iCs/>
          <w:color w:val="000000" w:themeColor="text1"/>
        </w:rPr>
        <w:t xml:space="preserve">ollout </w:t>
      </w:r>
      <w:r w:rsidR="00CA452C">
        <w:rPr>
          <w:bCs/>
          <w:iCs/>
          <w:color w:val="000000" w:themeColor="text1"/>
        </w:rPr>
        <w:t>programs</w:t>
      </w:r>
      <w:r w:rsidR="00402F96">
        <w:rPr>
          <w:bCs/>
          <w:iCs/>
          <w:color w:val="000000" w:themeColor="text1"/>
        </w:rPr>
        <w:t xml:space="preserve"> also</w:t>
      </w:r>
      <w:r w:rsidR="00CA452C">
        <w:rPr>
          <w:bCs/>
          <w:iCs/>
          <w:color w:val="000000" w:themeColor="text1"/>
        </w:rPr>
        <w:t xml:space="preserve"> start</w:t>
      </w:r>
      <w:r w:rsidR="00402F96">
        <w:rPr>
          <w:bCs/>
          <w:iCs/>
          <w:color w:val="000000" w:themeColor="text1"/>
        </w:rPr>
        <w:t>ed</w:t>
      </w:r>
      <w:r w:rsidR="00CA452C">
        <w:rPr>
          <w:bCs/>
          <w:iCs/>
          <w:color w:val="000000" w:themeColor="text1"/>
        </w:rPr>
        <w:t xml:space="preserve"> from Dec 2020 to Dec 2021 </w:t>
      </w:r>
      <w:r w:rsidR="00867702">
        <w:rPr>
          <w:bCs/>
          <w:iCs/>
          <w:color w:val="000000" w:themeColor="text1"/>
        </w:rPr>
        <w:t>(IFG, 2021b).</w:t>
      </w:r>
      <w:r w:rsidR="00DA6C22">
        <w:rPr>
          <w:bCs/>
          <w:iCs/>
          <w:color w:val="000000" w:themeColor="text1"/>
        </w:rPr>
        <w:t xml:space="preserve"> </w:t>
      </w:r>
      <w:r w:rsidR="00DC78E8" w:rsidRPr="0014184E">
        <w:t xml:space="preserve">The </w:t>
      </w:r>
      <w:r w:rsidR="00DC78E8">
        <w:t xml:space="preserve">decision process (Figure 2, with references of </w:t>
      </w:r>
      <w:proofErr w:type="spellStart"/>
      <w:r w:rsidR="00DC78E8" w:rsidRPr="00B8044A">
        <w:t>Trigeorgis</w:t>
      </w:r>
      <w:proofErr w:type="spellEnd"/>
      <w:r w:rsidR="00DC78E8">
        <w:t xml:space="preserve">, </w:t>
      </w:r>
      <w:r w:rsidR="00DC78E8" w:rsidRPr="00B8044A">
        <w:t>1996</w:t>
      </w:r>
      <w:r w:rsidR="00DC78E8">
        <w:t xml:space="preserve">; </w:t>
      </w:r>
      <w:proofErr w:type="spellStart"/>
      <w:r w:rsidR="00DC78E8" w:rsidRPr="00800BDD">
        <w:rPr>
          <w:bCs/>
          <w:color w:val="000000" w:themeColor="text1"/>
        </w:rPr>
        <w:t>Trigeorgis</w:t>
      </w:r>
      <w:proofErr w:type="spellEnd"/>
      <w:r w:rsidR="00DC78E8" w:rsidRPr="00800BDD">
        <w:rPr>
          <w:bCs/>
          <w:color w:val="000000" w:themeColor="text1"/>
        </w:rPr>
        <w:t xml:space="preserve"> and </w:t>
      </w:r>
      <w:proofErr w:type="spellStart"/>
      <w:r w:rsidR="00DC78E8" w:rsidRPr="00800BDD">
        <w:rPr>
          <w:bCs/>
          <w:color w:val="000000" w:themeColor="text1"/>
        </w:rPr>
        <w:t>Reuer</w:t>
      </w:r>
      <w:proofErr w:type="spellEnd"/>
      <w:r w:rsidR="00DC78E8">
        <w:rPr>
          <w:bCs/>
          <w:color w:val="000000" w:themeColor="text1"/>
        </w:rPr>
        <w:t>, 2017</w:t>
      </w:r>
      <w:r w:rsidR="00DC78E8">
        <w:t xml:space="preserve">) </w:t>
      </w:r>
      <w:r w:rsidR="00BE0F13">
        <w:t>move</w:t>
      </w:r>
      <w:r>
        <w:t>d</w:t>
      </w:r>
      <w:r w:rsidR="00BE0F13">
        <w:t xml:space="preserve"> to the</w:t>
      </w:r>
      <w:r w:rsidR="00C448FC">
        <w:t xml:space="preserve"> </w:t>
      </w:r>
      <w:r w:rsidR="00DC78E8">
        <w:t>addition to the government sector</w:t>
      </w:r>
      <w:r w:rsidR="00DC78E8" w:rsidRPr="0014184E">
        <w:t xml:space="preserve"> acquire</w:t>
      </w:r>
      <w:r w:rsidR="00DC78E8">
        <w:t>d</w:t>
      </w:r>
      <w:r w:rsidR="00DC78E8" w:rsidRPr="0014184E">
        <w:t xml:space="preserve"> a </w:t>
      </w:r>
      <w:r w:rsidR="00DC78E8" w:rsidRPr="0096771E">
        <w:rPr>
          <w:i/>
          <w:iCs/>
        </w:rPr>
        <w:t>t</w:t>
      </w:r>
      <w:r w:rsidR="00DC78E8">
        <w:rPr>
          <w:i/>
          <w:iCs/>
        </w:rPr>
        <w:t xml:space="preserve"> </w:t>
      </w:r>
      <w:r w:rsidR="00DC78E8">
        <w:t>=12-</w:t>
      </w:r>
      <w:r w:rsidR="00DC78E8" w:rsidRPr="0014184E">
        <w:t>month</w:t>
      </w:r>
      <w:r w:rsidR="00DC78E8">
        <w:t>s</w:t>
      </w:r>
      <w:r w:rsidR="00DC78E8" w:rsidRPr="0014184E">
        <w:t xml:space="preserve"> </w:t>
      </w:r>
      <w:r w:rsidR="00DC78E8">
        <w:t>(deferral) optio</w:t>
      </w:r>
      <w:r w:rsidR="008D0908">
        <w:t>n</w:t>
      </w:r>
      <w:r w:rsidR="00BE0F13">
        <w:t xml:space="preserve"> that ha</w:t>
      </w:r>
      <w:r>
        <w:t>d</w:t>
      </w:r>
      <w:r w:rsidR="00BE0F13">
        <w:t xml:space="preserve"> </w:t>
      </w:r>
      <w:r w:rsidR="00DC78E8">
        <w:t xml:space="preserve">enabled some </w:t>
      </w:r>
      <w:r w:rsidR="00DC78E8" w:rsidRPr="0014184E">
        <w:t>call and put option</w:t>
      </w:r>
      <w:r w:rsidR="00DC78E8">
        <w:t>s</w:t>
      </w:r>
      <w:r w:rsidR="00DC78E8" w:rsidRPr="0014184E">
        <w:t xml:space="preserve"> (</w:t>
      </w:r>
      <w:r w:rsidR="00DC78E8" w:rsidRPr="00E95924">
        <w:rPr>
          <w:i/>
          <w:iCs/>
        </w:rPr>
        <w:t>T</w:t>
      </w:r>
      <w:r w:rsidR="00DC78E8" w:rsidRPr="0014184E">
        <w:rPr>
          <w:vertAlign w:val="subscript"/>
        </w:rPr>
        <w:t>1</w:t>
      </w:r>
      <w:r w:rsidR="00DC78E8" w:rsidRPr="0014184E">
        <w:t xml:space="preserve"> = 1)</w:t>
      </w:r>
      <w:r>
        <w:t xml:space="preserve"> </w:t>
      </w:r>
      <w:r w:rsidR="00BE0F13">
        <w:t xml:space="preserve">such as </w:t>
      </w:r>
      <w:r w:rsidR="00DC78E8">
        <w:t>to c</w:t>
      </w:r>
      <w:r w:rsidR="00DC78E8" w:rsidRPr="0014184E">
        <w:t xml:space="preserve">ommence </w:t>
      </w:r>
      <w:r w:rsidR="00DC78E8">
        <w:t xml:space="preserve">Project A </w:t>
      </w:r>
      <w:r w:rsidR="00BE0F13">
        <w:t xml:space="preserve">enabled </w:t>
      </w:r>
      <w:r w:rsidR="00DC78E8">
        <w:t xml:space="preserve">Project B </w:t>
      </w:r>
      <w:r w:rsidR="00DC78E8" w:rsidRPr="0014184E">
        <w:t>building</w:t>
      </w:r>
      <w:r w:rsidR="00BE0F13">
        <w:t xml:space="preserve">, the </w:t>
      </w:r>
      <w:r w:rsidR="00B8044A" w:rsidRPr="00B8044A">
        <w:t>expand</w:t>
      </w:r>
      <w:r w:rsidR="00DC78E8">
        <w:t>ing</w:t>
      </w:r>
      <w:r w:rsidR="00B8044A" w:rsidRPr="00B8044A">
        <w:t xml:space="preserve"> investment</w:t>
      </w:r>
      <w:r w:rsidR="00DC78E8">
        <w:t xml:space="preserve"> for</w:t>
      </w:r>
      <w:r w:rsidR="00402F96">
        <w:t xml:space="preserve"> </w:t>
      </w:r>
      <w:r w:rsidR="00B8044A" w:rsidRPr="00B8044A">
        <w:t xml:space="preserve">Project </w:t>
      </w:r>
      <w:r w:rsidR="00707A5D">
        <w:t>B</w:t>
      </w:r>
      <w:r w:rsidR="00DC78E8">
        <w:t>.</w:t>
      </w:r>
      <w:r w:rsidR="006231D9">
        <w:t xml:space="preserve"> </w:t>
      </w:r>
      <w:r w:rsidR="008B6435">
        <w:t>F</w:t>
      </w:r>
      <w:r w:rsidR="0055015A">
        <w:t xml:space="preserve">rom </w:t>
      </w:r>
      <w:r w:rsidR="00C52B53">
        <w:t>the view of a</w:t>
      </w:r>
      <w:r w:rsidR="00B8044A" w:rsidRPr="00B8044A">
        <w:t xml:space="preserve"> European growth option</w:t>
      </w:r>
      <w:r w:rsidR="006231D9">
        <w:t xml:space="preserve">, </w:t>
      </w:r>
      <w:r w:rsidR="00B8044A" w:rsidRPr="00B8044A">
        <w:t xml:space="preserve">the present value of </w:t>
      </w:r>
      <w:r w:rsidR="00DA6C22">
        <w:t xml:space="preserve">Project </w:t>
      </w:r>
      <w:r w:rsidR="00C52B53">
        <w:t>B</w:t>
      </w:r>
      <w:r w:rsidR="00DA6C22">
        <w:t xml:space="preserve"> </w:t>
      </w:r>
      <w:r w:rsidR="00B8044A" w:rsidRPr="00B8044A">
        <w:t>cash inflows</w:t>
      </w:r>
      <w:r w:rsidR="008B6435">
        <w:t xml:space="preserve"> is</w:t>
      </w:r>
      <w:r w:rsidR="00402F96">
        <w:t xml:space="preserve">, </w:t>
      </w:r>
      <w:r w:rsidR="00402F96" w:rsidRPr="00B8044A">
        <w:rPr>
          <w:i/>
        </w:rPr>
        <w:t>V</w:t>
      </w:r>
      <w:r w:rsidR="00402F96" w:rsidRPr="00B8044A">
        <w:rPr>
          <w:i/>
          <w:iCs/>
          <w:vertAlign w:val="subscript"/>
        </w:rPr>
        <w:t>T</w:t>
      </w:r>
      <w:r w:rsidR="00402F96" w:rsidRPr="00B8044A">
        <w:t xml:space="preserve">, at time </w:t>
      </w:r>
      <w:r w:rsidR="00402F96" w:rsidRPr="00B8044A">
        <w:rPr>
          <w:i/>
          <w:iCs/>
        </w:rPr>
        <w:t>T</w:t>
      </w:r>
      <w:r w:rsidR="00402F96" w:rsidRPr="00B8044A">
        <w:t xml:space="preserve"> with exercise price </w:t>
      </w:r>
      <w:r w:rsidR="00402F96" w:rsidRPr="00B8044A">
        <w:rPr>
          <w:i/>
          <w:iCs/>
        </w:rPr>
        <w:t>I</w:t>
      </w:r>
      <w:r w:rsidR="009000BB">
        <w:t>.</w:t>
      </w:r>
      <w:r w:rsidR="00402F96" w:rsidRPr="00B8044A">
        <w:t xml:space="preserve"> </w:t>
      </w:r>
      <w:r w:rsidR="009000BB">
        <w:t>S</w:t>
      </w:r>
      <w:r w:rsidR="00402F96">
        <w:t xml:space="preserve">uppose </w:t>
      </w:r>
      <w:r w:rsidR="001F1D7C">
        <w:t>P</w:t>
      </w:r>
      <w:r w:rsidR="00402F96">
        <w:t xml:space="preserve">roject </w:t>
      </w:r>
      <w:r w:rsidR="001F1D7C">
        <w:t xml:space="preserve">A </w:t>
      </w:r>
      <w:r w:rsidR="00402F96">
        <w:t xml:space="preserve">value </w:t>
      </w:r>
      <w:r w:rsidR="001F1D7C">
        <w:t>w</w:t>
      </w:r>
      <w:r>
        <w:t>ould</w:t>
      </w:r>
      <w:r w:rsidR="001F1D7C">
        <w:t xml:space="preserve"> increase with </w:t>
      </w:r>
      <w:r w:rsidR="006413C5">
        <w:t>further Project</w:t>
      </w:r>
      <w:r w:rsidR="00402F96">
        <w:t xml:space="preserve"> </w:t>
      </w:r>
      <w:r w:rsidR="001F1D7C">
        <w:t xml:space="preserve">B </w:t>
      </w:r>
      <w:r w:rsidR="00402F96">
        <w:t>investment</w:t>
      </w:r>
      <w:r w:rsidR="009000BB">
        <w:t xml:space="preserve"> </w:t>
      </w:r>
      <w:r w:rsidR="001F1D7C">
        <w:t>such as the</w:t>
      </w:r>
      <w:r w:rsidR="001E1584">
        <w:t xml:space="preserve"> </w:t>
      </w:r>
      <w:r w:rsidR="00DA6C22">
        <w:t>investment</w:t>
      </w:r>
      <w:r w:rsidR="0055015A">
        <w:t>s</w:t>
      </w:r>
      <w:r w:rsidR="00DA6C22">
        <w:t xml:space="preserve"> in </w:t>
      </w:r>
      <w:r w:rsidR="0055015A">
        <w:rPr>
          <w:bCs/>
        </w:rPr>
        <w:t>Oxford-AstraZeneca</w:t>
      </w:r>
      <w:r w:rsidR="00B8044A" w:rsidRPr="00B8044A">
        <w:t>,</w:t>
      </w:r>
      <w:r w:rsidR="0055015A">
        <w:t xml:space="preserve"> or investments in Serum Institute India for production licencing</w:t>
      </w:r>
      <w:r w:rsidR="00F95A7F">
        <w:t>, Fig</w:t>
      </w:r>
      <w:r w:rsidR="00BC25A0">
        <w:t>ure</w:t>
      </w:r>
      <w:r w:rsidR="00F95A7F">
        <w:t xml:space="preserve"> 2</w:t>
      </w:r>
      <w:r w:rsidR="0055015A">
        <w:t>)</w:t>
      </w:r>
      <w:r w:rsidR="009000BB">
        <w:t>.</w:t>
      </w:r>
      <w:r w:rsidR="0055015A">
        <w:t xml:space="preserve"> </w:t>
      </w:r>
    </w:p>
    <w:p w14:paraId="128EA4DB" w14:textId="54C55211" w:rsidR="00F868A1" w:rsidRPr="00B8044A" w:rsidRDefault="00F868A1" w:rsidP="009D468A">
      <w:pPr>
        <w:spacing w:before="120" w:line="480" w:lineRule="auto"/>
        <w:ind w:firstLine="284"/>
        <w:jc w:val="both"/>
      </w:pPr>
      <w:r>
        <w:t xml:space="preserve">The above </w:t>
      </w:r>
      <w:r w:rsidR="00B548E2">
        <w:t xml:space="preserve">expansion </w:t>
      </w:r>
      <w:r w:rsidR="008B6435">
        <w:t xml:space="preserve">option </w:t>
      </w:r>
      <w:r>
        <w:t>t</w:t>
      </w:r>
      <w:r w:rsidRPr="00B8044A">
        <w:t>heoretica</w:t>
      </w:r>
      <w:r>
        <w:t>lly show</w:t>
      </w:r>
      <w:r w:rsidR="008B6435">
        <w:t>s</w:t>
      </w:r>
      <w:r>
        <w:t xml:space="preserve"> that t</w:t>
      </w:r>
      <w:r w:rsidRPr="00B8044A">
        <w:t>he option price</w:t>
      </w:r>
      <w:r w:rsidR="008B6435">
        <w:t xml:space="preserve"> for simulation </w:t>
      </w:r>
      <w:r>
        <w:t xml:space="preserve">is </w:t>
      </w:r>
      <w:r w:rsidRPr="00B8044A">
        <w:t xml:space="preserve">determined </w:t>
      </w:r>
      <w:r>
        <w:t>by</w:t>
      </w:r>
      <w:r w:rsidRPr="00B8044A">
        <w:t xml:space="preserve"> the standard European call</w:t>
      </w:r>
      <w:r>
        <w:t xml:space="preserve">, </w:t>
      </w:r>
      <w:r w:rsidRPr="006761E8">
        <w:rPr>
          <w:i/>
          <w:iCs/>
        </w:rPr>
        <w:t>C</w:t>
      </w:r>
      <w:r>
        <w:t>,</w:t>
      </w:r>
      <w:r w:rsidRPr="00B8044A">
        <w:t xml:space="preserve"> option with </w:t>
      </w:r>
      <w:proofErr w:type="spellStart"/>
      <w:r w:rsidRPr="00B8044A">
        <w:t>Geske’s</w:t>
      </w:r>
      <w:proofErr w:type="spellEnd"/>
      <w:r w:rsidRPr="00B8044A">
        <w:t xml:space="preserve"> (1979) framework:</w:t>
      </w:r>
    </w:p>
    <w:p w14:paraId="05571238" w14:textId="77777777" w:rsidR="00F868A1" w:rsidRDefault="0010515D" w:rsidP="009D468A">
      <w:pPr>
        <w:spacing w:before="120" w:line="480" w:lineRule="auto"/>
        <w:jc w:val="both"/>
      </w:pPr>
      <w:r w:rsidRPr="00F44633">
        <w:rPr>
          <w:noProof/>
          <w:position w:val="-12"/>
        </w:rPr>
        <w:object w:dxaOrig="7460" w:dyaOrig="400" w14:anchorId="7875707B">
          <v:shape id="_x0000_i1027" type="#_x0000_t75" alt="" style="width:5in;height:20.65pt;mso-width-percent:0;mso-height-percent:0;mso-width-percent:0;mso-height-percent:0" o:ole="">
            <v:imagedata r:id="rId15" o:title=""/>
          </v:shape>
          <o:OLEObject Type="Embed" ProgID="Equation.3" ShapeID="_x0000_i1027" DrawAspect="Content" ObjectID="_1712048704" r:id="rId16"/>
        </w:object>
      </w:r>
      <w:r w:rsidR="00F868A1" w:rsidRPr="00B8044A">
        <w:t>…</w:t>
      </w:r>
      <w:r w:rsidR="00F868A1">
        <w:t xml:space="preserve">… </w:t>
      </w:r>
      <w:r w:rsidR="00F868A1" w:rsidRPr="00B8044A">
        <w:t>(</w:t>
      </w:r>
      <w:r w:rsidR="00F868A1">
        <w:t>4</w:t>
      </w:r>
      <w:r w:rsidR="00F868A1" w:rsidRPr="00B8044A">
        <w:t>)</w:t>
      </w:r>
      <w:r w:rsidR="00F868A1" w:rsidRPr="00F44633">
        <w:t xml:space="preserve"> </w:t>
      </w:r>
    </w:p>
    <w:p w14:paraId="0630F099" w14:textId="77777777" w:rsidR="00F868A1" w:rsidRPr="00B8044A" w:rsidRDefault="00F868A1" w:rsidP="009D468A">
      <w:pPr>
        <w:spacing w:before="120" w:line="480" w:lineRule="auto"/>
        <w:jc w:val="both"/>
      </w:pPr>
      <w:r>
        <w:t>And</w:t>
      </w:r>
    </w:p>
    <w:p w14:paraId="1E8ACA3E" w14:textId="77777777" w:rsidR="00F868A1" w:rsidRPr="00B8044A" w:rsidRDefault="0010515D" w:rsidP="009D468A">
      <w:pPr>
        <w:spacing w:before="120" w:line="480" w:lineRule="auto"/>
        <w:jc w:val="both"/>
      </w:pPr>
      <w:r w:rsidRPr="00F44633">
        <w:rPr>
          <w:noProof/>
          <w:position w:val="-108"/>
        </w:rPr>
        <w:object w:dxaOrig="2320" w:dyaOrig="2280" w14:anchorId="0DC943B9">
          <v:shape id="_x0000_i1028" type="#_x0000_t75" alt="" style="width:115.5pt;height:112.65pt;mso-width-percent:0;mso-height-percent:0;mso-width-percent:0;mso-height-percent:0" o:ole="">
            <v:imagedata r:id="rId17" o:title=""/>
          </v:shape>
          <o:OLEObject Type="Embed" ProgID="Equation.3" ShapeID="_x0000_i1028" DrawAspect="Content" ObjectID="_1712048705" r:id="rId18"/>
        </w:object>
      </w:r>
      <w:r w:rsidR="00F868A1" w:rsidRPr="00B8044A">
        <w:t>………</w:t>
      </w:r>
      <w:r w:rsidR="00F868A1">
        <w:t>……</w:t>
      </w:r>
      <w:r w:rsidR="00F868A1" w:rsidRPr="00B8044A">
        <w:t>.</w:t>
      </w:r>
      <w:r w:rsidR="00F868A1">
        <w:t xml:space="preserve"> </w:t>
      </w:r>
      <w:r w:rsidR="00F868A1" w:rsidRPr="00B8044A">
        <w:t>(</w:t>
      </w:r>
      <w:r w:rsidR="00F868A1">
        <w:t>5</w:t>
      </w:r>
      <w:r w:rsidR="00F868A1" w:rsidRPr="00B8044A">
        <w:t>)</w:t>
      </w:r>
    </w:p>
    <w:p w14:paraId="7862ABB5" w14:textId="77777777" w:rsidR="00F868A1" w:rsidRPr="00B8044A" w:rsidRDefault="00F868A1" w:rsidP="009D468A">
      <w:pPr>
        <w:spacing w:before="120" w:line="480" w:lineRule="auto"/>
        <w:jc w:val="both"/>
      </w:pPr>
      <w:proofErr w:type="gramStart"/>
      <w:r w:rsidRPr="00B8044A">
        <w:t>Where</w:t>
      </w:r>
      <w:proofErr w:type="gramEnd"/>
      <w:r w:rsidRPr="00B8044A">
        <w:t xml:space="preserve"> </w:t>
      </w:r>
    </w:p>
    <w:p w14:paraId="7C6235E3" w14:textId="77777777" w:rsidR="00F868A1" w:rsidRPr="00B8044A" w:rsidRDefault="00F868A1" w:rsidP="009D468A">
      <w:pPr>
        <w:spacing w:line="480" w:lineRule="auto"/>
        <w:jc w:val="both"/>
      </w:pPr>
      <w:r w:rsidRPr="00B8044A">
        <w:rPr>
          <w:i/>
        </w:rPr>
        <w:lastRenderedPageBreak/>
        <w:t>V</w:t>
      </w:r>
      <w:r w:rsidRPr="00B8044A">
        <w:rPr>
          <w:i/>
          <w:iCs/>
          <w:vertAlign w:val="subscript"/>
        </w:rPr>
        <w:t>T</w:t>
      </w:r>
      <w:r w:rsidRPr="00B8044A">
        <w:t xml:space="preserve"> = present value </w:t>
      </w:r>
    </w:p>
    <w:p w14:paraId="5EBA3E79" w14:textId="77777777" w:rsidR="00F868A1" w:rsidRPr="00B8044A" w:rsidRDefault="00F868A1" w:rsidP="009D468A">
      <w:pPr>
        <w:spacing w:line="480" w:lineRule="auto"/>
        <w:jc w:val="both"/>
      </w:pPr>
      <w:r w:rsidRPr="00E851B2">
        <w:rPr>
          <w:i/>
        </w:rPr>
        <w:t>V</w:t>
      </w:r>
      <w:r w:rsidRPr="00E851B2">
        <w:rPr>
          <w:i/>
          <w:vertAlign w:val="subscript"/>
        </w:rPr>
        <w:t>C</w:t>
      </w:r>
      <w:r w:rsidRPr="00B8044A">
        <w:rPr>
          <w:i/>
        </w:rPr>
        <w:t xml:space="preserve"> </w:t>
      </w:r>
      <w:r w:rsidRPr="00B8044A">
        <w:t xml:space="preserve">critical value above which the first call option will be exercised </w:t>
      </w:r>
    </w:p>
    <w:p w14:paraId="29FB8F49" w14:textId="77777777" w:rsidR="00F868A1" w:rsidRPr="00B8044A" w:rsidRDefault="00F868A1" w:rsidP="009D468A">
      <w:pPr>
        <w:spacing w:line="480" w:lineRule="auto"/>
        <w:jc w:val="both"/>
      </w:pPr>
      <w:r w:rsidRPr="00B8044A">
        <w:rPr>
          <w:i/>
        </w:rPr>
        <w:t>K</w:t>
      </w:r>
      <w:r w:rsidRPr="00B8044A">
        <w:rPr>
          <w:vertAlign w:val="subscript"/>
        </w:rPr>
        <w:t>1</w:t>
      </w:r>
      <w:r w:rsidRPr="00B8044A">
        <w:t xml:space="preserve"> = investment outlay </w:t>
      </w:r>
      <w:r>
        <w:t xml:space="preserve">(or </w:t>
      </w:r>
      <w:r w:rsidRPr="00373145">
        <w:rPr>
          <w:i/>
          <w:iCs/>
        </w:rPr>
        <w:t>I</w:t>
      </w:r>
      <w:r>
        <w:t>)</w:t>
      </w:r>
    </w:p>
    <w:p w14:paraId="32B4A981" w14:textId="77777777" w:rsidR="00F868A1" w:rsidRPr="00B8044A" w:rsidRDefault="00F868A1" w:rsidP="009D468A">
      <w:pPr>
        <w:spacing w:line="480" w:lineRule="auto"/>
        <w:jc w:val="both"/>
      </w:pPr>
      <w:r w:rsidRPr="00B8044A">
        <w:rPr>
          <w:i/>
        </w:rPr>
        <w:t>K</w:t>
      </w:r>
      <w:r w:rsidRPr="00B8044A">
        <w:rPr>
          <w:vertAlign w:val="subscript"/>
        </w:rPr>
        <w:t>2</w:t>
      </w:r>
      <w:r w:rsidRPr="00B8044A">
        <w:t xml:space="preserve"> = investment outlay for the downstream </w:t>
      </w:r>
    </w:p>
    <w:p w14:paraId="57D7865D" w14:textId="77777777" w:rsidR="00F868A1" w:rsidRPr="00B8044A" w:rsidRDefault="0010515D" w:rsidP="009D468A">
      <w:pPr>
        <w:spacing w:line="480" w:lineRule="auto"/>
        <w:jc w:val="both"/>
      </w:pPr>
      <w:r w:rsidRPr="00F44633">
        <w:rPr>
          <w:noProof/>
          <w:position w:val="-6"/>
        </w:rPr>
        <w:object w:dxaOrig="200" w:dyaOrig="200" w14:anchorId="654E8A39">
          <v:shape id="_x0000_i1029" type="#_x0000_t75" alt="" style="width:12.85pt;height:12.85pt;mso-width-percent:0;mso-height-percent:0;mso-width-percent:0;mso-height-percent:0" o:ole="">
            <v:imagedata r:id="rId19" o:title=""/>
          </v:shape>
          <o:OLEObject Type="Embed" ProgID="Equation.3" ShapeID="_x0000_i1029" DrawAspect="Content" ObjectID="_1712048706" r:id="rId20"/>
        </w:object>
      </w:r>
      <w:r w:rsidR="00F868A1" w:rsidRPr="00B8044A">
        <w:t xml:space="preserve">= volatility of the rate of change of the downstream </w:t>
      </w:r>
    </w:p>
    <w:p w14:paraId="024A8916" w14:textId="77777777" w:rsidR="00F868A1" w:rsidRPr="00B8044A" w:rsidRDefault="00F868A1" w:rsidP="009D468A">
      <w:pPr>
        <w:spacing w:line="480" w:lineRule="auto"/>
        <w:jc w:val="both"/>
      </w:pPr>
      <w:r w:rsidRPr="00B8044A">
        <w:rPr>
          <w:i/>
        </w:rPr>
        <w:t xml:space="preserve">r </w:t>
      </w:r>
      <w:r w:rsidRPr="00B8044A">
        <w:t>= riskless rate of return.</w:t>
      </w:r>
    </w:p>
    <w:p w14:paraId="0079C8AB" w14:textId="77777777" w:rsidR="00F868A1" w:rsidRPr="00B8044A" w:rsidRDefault="00F868A1" w:rsidP="009D468A">
      <w:pPr>
        <w:spacing w:line="480" w:lineRule="auto"/>
        <w:jc w:val="both"/>
      </w:pPr>
      <w:proofErr w:type="gramStart"/>
      <w:r w:rsidRPr="00B8044A">
        <w:rPr>
          <w:i/>
        </w:rPr>
        <w:t>N</w:t>
      </w:r>
      <w:r w:rsidRPr="00B8044A">
        <w:t>(</w:t>
      </w:r>
      <w:proofErr w:type="gramEnd"/>
      <w:r>
        <w:t>•</w:t>
      </w:r>
      <w:r w:rsidRPr="00B8044A">
        <w:t xml:space="preserve">) = univariate normal distribution function, </w:t>
      </w:r>
    </w:p>
    <w:p w14:paraId="4B0ED1AD" w14:textId="403EBB68" w:rsidR="00F868A1" w:rsidRPr="00F868A1" w:rsidRDefault="00F868A1" w:rsidP="009D468A">
      <w:pPr>
        <w:spacing w:line="480" w:lineRule="auto"/>
        <w:jc w:val="both"/>
      </w:pPr>
      <w:proofErr w:type="gramStart"/>
      <w:r w:rsidRPr="00B8044A">
        <w:rPr>
          <w:i/>
        </w:rPr>
        <w:t>M</w:t>
      </w:r>
      <w:r w:rsidRPr="00B8044A">
        <w:t>(</w:t>
      </w:r>
      <w:proofErr w:type="gramEnd"/>
      <w:r w:rsidRPr="007B1150">
        <w:rPr>
          <w:i/>
          <w:iCs/>
        </w:rPr>
        <w:t>k</w:t>
      </w:r>
      <w:r w:rsidRPr="00B8044A">
        <w:t xml:space="preserve">, </w:t>
      </w:r>
      <w:r w:rsidRPr="007B1150">
        <w:rPr>
          <w:i/>
          <w:iCs/>
        </w:rPr>
        <w:t>h</w:t>
      </w:r>
      <w:r w:rsidRPr="00B8044A">
        <w:t>:</w:t>
      </w:r>
      <w:r w:rsidR="0010515D" w:rsidRPr="00F44633">
        <w:rPr>
          <w:noProof/>
          <w:position w:val="-8"/>
        </w:rPr>
        <w:object w:dxaOrig="200" w:dyaOrig="220" w14:anchorId="1CA02527">
          <v:shape id="_x0000_i1030" type="#_x0000_t75" alt="" style="width:12.85pt;height:12.85pt;mso-width-percent:0;mso-height-percent:0;mso-width-percent:0;mso-height-percent:0" o:ole="">
            <v:imagedata r:id="rId21" o:title=""/>
          </v:shape>
          <o:OLEObject Type="Embed" ProgID="Equation.3" ShapeID="_x0000_i1030" DrawAspect="Content" ObjectID="_1712048707" r:id="rId22"/>
        </w:object>
      </w:r>
      <w:r w:rsidRPr="00B8044A">
        <w:t xml:space="preserve">) = bivariate cumulative normal distribution function </w:t>
      </w:r>
      <w:r w:rsidR="0010515D" w:rsidRPr="00F44633">
        <w:rPr>
          <w:noProof/>
          <w:position w:val="-10"/>
        </w:rPr>
        <w:object w:dxaOrig="1060" w:dyaOrig="440" w14:anchorId="149D9E72">
          <v:shape id="_x0000_i1031" type="#_x0000_t75" alt="" style="width:65.95pt;height:27.8pt;mso-width-percent:0;mso-height-percent:0;mso-width-percent:0;mso-height-percent:0" o:ole="">
            <v:imagedata r:id="rId23" o:title=""/>
          </v:shape>
          <o:OLEObject Type="Embed" ProgID="Equation.3" ShapeID="_x0000_i1031" DrawAspect="Content" ObjectID="_1712048708" r:id="rId24"/>
        </w:object>
      </w:r>
      <w:r w:rsidRPr="00B8044A">
        <w:t xml:space="preserve">. </w:t>
      </w:r>
    </w:p>
    <w:p w14:paraId="45628F2E" w14:textId="4B3B3DB1" w:rsidR="00C70147" w:rsidRDefault="001E1584" w:rsidP="00C9239A">
      <w:pPr>
        <w:autoSpaceDE w:val="0"/>
        <w:autoSpaceDN w:val="0"/>
        <w:adjustRightInd w:val="0"/>
        <w:spacing w:before="120" w:line="480" w:lineRule="auto"/>
        <w:ind w:firstLine="284"/>
        <w:jc w:val="both"/>
      </w:pPr>
      <w:bookmarkStart w:id="7" w:name="_Toc182909448"/>
      <w:bookmarkStart w:id="8" w:name="_Toc182975583"/>
      <w:bookmarkStart w:id="9" w:name="_Toc196931610"/>
      <w:r>
        <w:t>I</w:t>
      </w:r>
      <w:r w:rsidRPr="0014184E">
        <w:t xml:space="preserve">f market conditions deteriorate, </w:t>
      </w:r>
      <w:r>
        <w:t xml:space="preserve">the government sector </w:t>
      </w:r>
      <w:r w:rsidR="001A7FA2">
        <w:t xml:space="preserve">(see, Fig. 2) </w:t>
      </w:r>
      <w:r w:rsidRPr="0014184E">
        <w:t>can choose to forgo any future planned investments (</w:t>
      </w:r>
      <w:r w:rsidRPr="0014184E">
        <w:rPr>
          <w:i/>
          <w:iCs/>
        </w:rPr>
        <w:t>I</w:t>
      </w:r>
      <w:r w:rsidRPr="0014184E">
        <w:rPr>
          <w:vertAlign w:val="subscript"/>
        </w:rPr>
        <w:t>2</w:t>
      </w:r>
      <w:r w:rsidRPr="0014184E">
        <w:t xml:space="preserve">). At this stage </w:t>
      </w:r>
      <w:r>
        <w:t>the government sector</w:t>
      </w:r>
      <w:r w:rsidRPr="0014184E">
        <w:t xml:space="preserve"> may also choose to reduce the</w:t>
      </w:r>
      <w:r>
        <w:t xml:space="preserve"> </w:t>
      </w:r>
      <w:r w:rsidRPr="0014184E">
        <w:t xml:space="preserve">scale by </w:t>
      </w:r>
      <w:r w:rsidRPr="0002725A">
        <w:rPr>
          <w:i/>
          <w:iCs/>
        </w:rPr>
        <w:t>c</w:t>
      </w:r>
      <w:r w:rsidRPr="0014184E">
        <w:t xml:space="preserve">%, </w:t>
      </w:r>
      <w:r>
        <w:t xml:space="preserve">such as production scales and facilities of cost </w:t>
      </w:r>
      <w:r w:rsidRPr="0014184E">
        <w:t>(</w:t>
      </w:r>
      <w:proofErr w:type="spellStart"/>
      <w:r w:rsidRPr="0014184E">
        <w:rPr>
          <w:i/>
          <w:iCs/>
        </w:rPr>
        <w:t>I</w:t>
      </w:r>
      <w:r w:rsidRPr="0014184E">
        <w:rPr>
          <w:vertAlign w:val="subscript"/>
        </w:rPr>
        <w:t>c</w:t>
      </w:r>
      <w:proofErr w:type="spellEnd"/>
      <w:r w:rsidRPr="0014184E">
        <w:t>).</w:t>
      </w:r>
      <w:r w:rsidR="00C9239A">
        <w:t xml:space="preserve"> </w:t>
      </w:r>
      <w:r w:rsidR="00C9239A" w:rsidRPr="00B8044A">
        <w:t>The value of the investment opportunity, including the value of the option to expand</w:t>
      </w:r>
      <w:r w:rsidR="00C9239A">
        <w:t xml:space="preserve">, </w:t>
      </w:r>
      <w:r w:rsidR="00C9239A" w:rsidRPr="00B548E2">
        <w:rPr>
          <w:i/>
          <w:iCs/>
        </w:rPr>
        <w:t>E</w:t>
      </w:r>
      <w:r w:rsidR="00C9239A">
        <w:t>,</w:t>
      </w:r>
      <w:r w:rsidR="00C9239A" w:rsidRPr="00B8044A">
        <w:t xml:space="preserve"> then becomes </w:t>
      </w:r>
      <w:r w:rsidR="00C9239A" w:rsidRPr="00C03FEB">
        <w:rPr>
          <w:color w:val="000000" w:themeColor="text1"/>
        </w:rPr>
        <w:t xml:space="preserve">now </w:t>
      </w:r>
      <w:r w:rsidR="008D0908">
        <w:rPr>
          <w:color w:val="000000" w:themeColor="text1"/>
        </w:rPr>
        <w:t xml:space="preserve">it is </w:t>
      </w:r>
      <w:r w:rsidR="00C9239A" w:rsidRPr="00C03FEB">
        <w:rPr>
          <w:color w:val="000000" w:themeColor="text1"/>
        </w:rPr>
        <w:t>possible for government sectors to review their decision-making process based on FNVP, which is (</w:t>
      </w:r>
      <w:r w:rsidR="00C9239A" w:rsidRPr="00C03FEB">
        <w:rPr>
          <w:color w:val="000000" w:themeColor="text1"/>
          <w:vertAlign w:val="subscript"/>
        </w:rPr>
        <w:t>A</w:t>
      </w:r>
      <w:r w:rsidR="00C9239A" w:rsidRPr="00C03FEB">
        <w:rPr>
          <w:i/>
          <w:color w:val="000000" w:themeColor="text1"/>
        </w:rPr>
        <w:t>C</w:t>
      </w:r>
      <w:r w:rsidR="00C9239A" w:rsidRPr="00C03FEB">
        <w:rPr>
          <w:color w:val="000000" w:themeColor="text1"/>
          <w:vertAlign w:val="subscript"/>
        </w:rPr>
        <w:t xml:space="preserve">0 </w:t>
      </w:r>
      <w:r w:rsidR="00C9239A" w:rsidRPr="00C03FEB">
        <w:rPr>
          <w:color w:val="000000" w:themeColor="text1"/>
        </w:rPr>
        <w:t xml:space="preserve">+ </w:t>
      </w:r>
      <w:r w:rsidR="00C9239A" w:rsidRPr="00C03FEB">
        <w:rPr>
          <w:color w:val="000000" w:themeColor="text1"/>
          <w:vertAlign w:val="subscript"/>
        </w:rPr>
        <w:t>B</w:t>
      </w:r>
      <w:r w:rsidR="00C9239A" w:rsidRPr="00C03FEB">
        <w:rPr>
          <w:i/>
          <w:color w:val="000000" w:themeColor="text1"/>
        </w:rPr>
        <w:t>C</w:t>
      </w:r>
      <w:r w:rsidR="00C9239A" w:rsidRPr="00C03FEB">
        <w:rPr>
          <w:color w:val="000000" w:themeColor="text1"/>
          <w:vertAlign w:val="subscript"/>
        </w:rPr>
        <w:t>0</w:t>
      </w:r>
      <w:r w:rsidR="00C9239A" w:rsidRPr="00C03FEB">
        <w:rPr>
          <w:color w:val="000000" w:themeColor="text1"/>
        </w:rPr>
        <w:t>)-</w:t>
      </w:r>
      <w:r w:rsidR="00C9239A" w:rsidRPr="00C03FEB">
        <w:rPr>
          <w:color w:val="000000" w:themeColor="text1"/>
          <w:vertAlign w:val="subscript"/>
        </w:rPr>
        <w:t>A</w:t>
      </w:r>
      <w:r w:rsidR="00C9239A" w:rsidRPr="00C03FEB">
        <w:rPr>
          <w:i/>
          <w:color w:val="000000" w:themeColor="text1"/>
        </w:rPr>
        <w:t>C</w:t>
      </w:r>
      <w:r w:rsidR="00C9239A" w:rsidRPr="00C03FEB">
        <w:rPr>
          <w:color w:val="000000" w:themeColor="text1"/>
          <w:vertAlign w:val="subscript"/>
        </w:rPr>
        <w:t>B.</w:t>
      </w:r>
      <w:r w:rsidR="00C9239A" w:rsidRPr="00C03FEB">
        <w:rPr>
          <w:color w:val="000000" w:themeColor="text1"/>
        </w:rPr>
        <w:t xml:space="preserve"> The value of </w:t>
      </w:r>
      <w:r w:rsidR="00C9239A">
        <w:rPr>
          <w:color w:val="000000" w:themeColor="text1"/>
        </w:rPr>
        <w:t xml:space="preserve">the </w:t>
      </w:r>
      <w:r w:rsidR="00C9239A" w:rsidRPr="00C03FEB">
        <w:rPr>
          <w:color w:val="000000" w:themeColor="text1"/>
        </w:rPr>
        <w:t>option to expand based on the growth value</w:t>
      </w:r>
      <w:r w:rsidR="00C9239A">
        <w:rPr>
          <w:color w:val="000000" w:themeColor="text1"/>
        </w:rPr>
        <w:t xml:space="preserve">, </w:t>
      </w:r>
      <w:r w:rsidR="00C9239A" w:rsidRPr="00C03FEB">
        <w:rPr>
          <w:color w:val="000000" w:themeColor="text1"/>
        </w:rPr>
        <w:t>thus, suggesting that to expand with defer option, together the two projects strengthen the decision choice of the government sector</w:t>
      </w:r>
      <w:r w:rsidR="008D0908">
        <w:rPr>
          <w:color w:val="000000" w:themeColor="text1"/>
        </w:rPr>
        <w:t xml:space="preserve">. </w:t>
      </w:r>
      <w:r>
        <w:t>T</w:t>
      </w:r>
      <w:r w:rsidRPr="00B8044A">
        <w:t>he original investment opportunity</w:t>
      </w:r>
      <w:r w:rsidR="001A7FA2">
        <w:t xml:space="preserve"> then </w:t>
      </w:r>
      <w:r w:rsidRPr="00B8044A">
        <w:t>be</w:t>
      </w:r>
      <w:r>
        <w:t>come</w:t>
      </w:r>
      <w:r w:rsidR="00CD1A16">
        <w:t>s</w:t>
      </w:r>
      <w:r w:rsidRPr="00B8044A">
        <w:t xml:space="preserve"> the initial-scale project plus a call option on the future opportunity (i.e., the corporate growth option of Myer</w:t>
      </w:r>
      <w:r>
        <w:t xml:space="preserve">, </w:t>
      </w:r>
      <w:r w:rsidRPr="00B8044A">
        <w:t>1977).</w:t>
      </w:r>
      <w:r>
        <w:t xml:space="preserve"> </w:t>
      </w:r>
      <w:r w:rsidR="00A02A7C">
        <w:t>T</w:t>
      </w:r>
      <w:r>
        <w:t>his leads to the second Hypothesis</w:t>
      </w:r>
      <w:r w:rsidR="00C70147">
        <w:t>,</w:t>
      </w:r>
      <w:r>
        <w:t xml:space="preserve"> </w:t>
      </w:r>
    </w:p>
    <w:p w14:paraId="24DD3071" w14:textId="06EBC22B" w:rsidR="001E1584" w:rsidRPr="00AE6602" w:rsidRDefault="00C70147" w:rsidP="00AE6602">
      <w:pPr>
        <w:autoSpaceDE w:val="0"/>
        <w:autoSpaceDN w:val="0"/>
        <w:adjustRightInd w:val="0"/>
        <w:spacing w:before="120" w:line="480" w:lineRule="auto"/>
        <w:ind w:left="284"/>
        <w:jc w:val="both"/>
        <w:rPr>
          <w:i/>
          <w:iCs/>
        </w:rPr>
      </w:pPr>
      <w:r w:rsidRPr="00AE6602">
        <w:rPr>
          <w:i/>
          <w:iCs/>
        </w:rPr>
        <w:t xml:space="preserve">H2: Phase 2 </w:t>
      </w:r>
      <w:r w:rsidR="00A773C2">
        <w:rPr>
          <w:i/>
          <w:iCs/>
        </w:rPr>
        <w:t xml:space="preserve">With </w:t>
      </w:r>
      <w:r w:rsidRPr="00AE6602">
        <w:rPr>
          <w:i/>
          <w:iCs/>
        </w:rPr>
        <w:t>the gradual relaxation of lockdown measures</w:t>
      </w:r>
      <w:r w:rsidR="00A773C2">
        <w:rPr>
          <w:i/>
          <w:iCs/>
        </w:rPr>
        <w:t xml:space="preserve"> implemented, </w:t>
      </w:r>
      <w:r w:rsidRPr="00AE6602">
        <w:rPr>
          <w:i/>
          <w:iCs/>
        </w:rPr>
        <w:t xml:space="preserve">time to expand option, Project </w:t>
      </w:r>
      <w:r w:rsidR="00E53144" w:rsidRPr="00AE6602">
        <w:rPr>
          <w:i/>
          <w:iCs/>
        </w:rPr>
        <w:t>B</w:t>
      </w:r>
      <w:r w:rsidRPr="00AE6602">
        <w:rPr>
          <w:i/>
          <w:iCs/>
        </w:rPr>
        <w:t xml:space="preserve">, will drive compound growth </w:t>
      </w:r>
      <w:r w:rsidR="00E53144" w:rsidRPr="00AE6602">
        <w:rPr>
          <w:i/>
          <w:iCs/>
        </w:rPr>
        <w:t>o</w:t>
      </w:r>
      <w:r w:rsidRPr="00AE6602">
        <w:rPr>
          <w:i/>
          <w:iCs/>
        </w:rPr>
        <w:t xml:space="preserve">f both </w:t>
      </w:r>
      <w:r w:rsidR="00E53144" w:rsidRPr="00AE6602">
        <w:rPr>
          <w:i/>
          <w:iCs/>
        </w:rPr>
        <w:t>Project A and Project B.</w:t>
      </w:r>
    </w:p>
    <w:p w14:paraId="3A57A112" w14:textId="26A7A6F2" w:rsidR="00753BFF" w:rsidRDefault="00C9239A" w:rsidP="009D468A">
      <w:pPr>
        <w:spacing w:before="120" w:line="480" w:lineRule="auto"/>
        <w:ind w:firstLine="284"/>
        <w:jc w:val="both"/>
      </w:pPr>
      <w:r w:rsidRPr="00AE6602">
        <w:rPr>
          <w:i/>
          <w:iCs/>
        </w:rPr>
        <w:t>Proof</w:t>
      </w:r>
      <w:r>
        <w:t xml:space="preserve"> 2: Project B, </w:t>
      </w:r>
      <w:r w:rsidR="00753BFF" w:rsidRPr="005D2351">
        <w:t xml:space="preserve">Phase 2 is dependent on the outcome of Phase 1. </w:t>
      </w:r>
      <w:r w:rsidR="00E53144">
        <w:t>Although s</w:t>
      </w:r>
      <w:r w:rsidR="00753BFF">
        <w:t>ocial distancing measures would still be in place on public transport, restaurants, shops, bars, and sporting venue</w:t>
      </w:r>
      <w:r w:rsidR="00E53144">
        <w:t>,</w:t>
      </w:r>
      <w:r w:rsidR="00753BFF" w:rsidRPr="00BA1E10">
        <w:t xml:space="preserve"> </w:t>
      </w:r>
      <w:r w:rsidR="00753BFF">
        <w:t xml:space="preserve">but business, albeit at reduced capacity, would be restored thus providing time to build options in Phase 2. </w:t>
      </w:r>
      <w:r w:rsidR="00CD1A16">
        <w:t>If otherwise, a</w:t>
      </w:r>
      <w:r w:rsidR="00CD1A16" w:rsidRPr="00366567">
        <w:t xml:space="preserve">n unfavourable outcome such as high transmission </w:t>
      </w:r>
      <w:r w:rsidR="00CD1A16" w:rsidRPr="00366567">
        <w:lastRenderedPageBreak/>
        <w:t xml:space="preserve">rates and unsustainable demand on hospital capacity would prolong </w:t>
      </w:r>
      <w:r w:rsidR="00CD1A16">
        <w:t xml:space="preserve">phase 1 and lead to further restrictions. </w:t>
      </w:r>
      <w:r w:rsidR="00753BFF">
        <w:t xml:space="preserve">If this second phase is favourable, in that virus transmission is reduced to relatively low levels and hospital admissions continue to remain low, businesses may have the option to </w:t>
      </w:r>
      <w:r w:rsidR="00753BFF" w:rsidRPr="0099210D">
        <w:t>increase the scale of operation</w:t>
      </w:r>
      <w:r w:rsidR="00753BFF">
        <w:t xml:space="preserve"> and</w:t>
      </w:r>
      <w:r w:rsidR="00753BFF" w:rsidRPr="0099210D">
        <w:t xml:space="preserve"> </w:t>
      </w:r>
      <w:r w:rsidR="00753BFF">
        <w:t>enter a third phase</w:t>
      </w:r>
      <w:r w:rsidR="009C67C0">
        <w:t>, at the meantime, government sector Project B investment in vaccine program becomes more profitable</w:t>
      </w:r>
      <w:r w:rsidR="00753BFF">
        <w:t>.</w:t>
      </w:r>
    </w:p>
    <w:p w14:paraId="6E8BFB82" w14:textId="6EDA9AA6" w:rsidR="00B8044A" w:rsidRPr="007644FF" w:rsidRDefault="00B8044A" w:rsidP="009D468A">
      <w:pPr>
        <w:keepNext/>
        <w:spacing w:before="240" w:line="480" w:lineRule="auto"/>
        <w:jc w:val="both"/>
        <w:outlineLvl w:val="2"/>
        <w:rPr>
          <w:bCs/>
          <w:i/>
        </w:rPr>
      </w:pPr>
      <w:r w:rsidRPr="007644FF">
        <w:rPr>
          <w:bCs/>
          <w:i/>
        </w:rPr>
        <w:t>Compound</w:t>
      </w:r>
      <w:r w:rsidR="00076EA9" w:rsidRPr="007644FF">
        <w:rPr>
          <w:bCs/>
          <w:i/>
        </w:rPr>
        <w:t xml:space="preserve"> </w:t>
      </w:r>
      <w:r w:rsidR="001436C3" w:rsidRPr="007644FF">
        <w:rPr>
          <w:bCs/>
          <w:i/>
        </w:rPr>
        <w:t>s</w:t>
      </w:r>
      <w:r w:rsidRPr="007644FF">
        <w:rPr>
          <w:bCs/>
          <w:i/>
        </w:rPr>
        <w:t>equential</w:t>
      </w:r>
      <w:r w:rsidR="008B30DF" w:rsidRPr="007644FF">
        <w:rPr>
          <w:bCs/>
          <w:i/>
        </w:rPr>
        <w:t xml:space="preserve"> </w:t>
      </w:r>
      <w:r w:rsidR="001436C3" w:rsidRPr="007644FF">
        <w:rPr>
          <w:bCs/>
          <w:i/>
        </w:rPr>
        <w:t>o</w:t>
      </w:r>
      <w:r w:rsidRPr="007644FF">
        <w:rPr>
          <w:bCs/>
          <w:i/>
        </w:rPr>
        <w:t>ptions</w:t>
      </w:r>
      <w:bookmarkEnd w:id="7"/>
      <w:bookmarkEnd w:id="8"/>
      <w:bookmarkEnd w:id="9"/>
      <w:r w:rsidR="0068199F" w:rsidRPr="007644FF">
        <w:rPr>
          <w:bCs/>
          <w:i/>
        </w:rPr>
        <w:t xml:space="preserve"> (switch and abandon)</w:t>
      </w:r>
    </w:p>
    <w:p w14:paraId="03B2E3C9" w14:textId="334B82D5" w:rsidR="00706F39" w:rsidRDefault="00167873" w:rsidP="000669BA">
      <w:pPr>
        <w:spacing w:before="120" w:line="480" w:lineRule="auto"/>
        <w:jc w:val="both"/>
      </w:pPr>
      <w:r>
        <w:t>T</w:t>
      </w:r>
      <w:r w:rsidRPr="00B8044A">
        <w:t>he</w:t>
      </w:r>
      <w:r w:rsidR="003A0960">
        <w:t xml:space="preserve"> </w:t>
      </w:r>
      <w:r w:rsidRPr="00B8044A">
        <w:t xml:space="preserve">model </w:t>
      </w:r>
      <w:r>
        <w:t xml:space="preserve">as depicted by </w:t>
      </w:r>
      <w:r w:rsidRPr="00B8044A">
        <w:t xml:space="preserve">Figure </w:t>
      </w:r>
      <w:r>
        <w:t xml:space="preserve">2 is </w:t>
      </w:r>
      <w:r w:rsidR="003F2DC0">
        <w:t xml:space="preserve">also </w:t>
      </w:r>
      <w:r>
        <w:t>applicable for the corporate sector</w:t>
      </w:r>
      <w:r w:rsidR="003A0960">
        <w:t>, as we discussed earlier (in Sn2)</w:t>
      </w:r>
      <w:r>
        <w:t>. The corporate sector has a series of options in the subsequent context, w</w:t>
      </w:r>
      <w:r w:rsidRPr="00B8044A">
        <w:t>here multiple option paths exist, the value of the underlying asset for options</w:t>
      </w:r>
      <w:r>
        <w:t>, therefore,</w:t>
      </w:r>
      <w:r w:rsidRPr="00B8044A">
        <w:t xml:space="preserve"> </w:t>
      </w:r>
      <w:r>
        <w:t>might</w:t>
      </w:r>
      <w:r w:rsidRPr="00B8044A">
        <w:t xml:space="preserve"> be greater. </w:t>
      </w:r>
      <w:r w:rsidR="00706F39">
        <w:t>Now w</w:t>
      </w:r>
      <w:r w:rsidR="00BA6B8A">
        <w:t>e</w:t>
      </w:r>
      <w:r w:rsidR="00702C0E">
        <w:t xml:space="preserve"> </w:t>
      </w:r>
      <w:r w:rsidR="000B5BC5">
        <w:t xml:space="preserve">evaluate the ROA </w:t>
      </w:r>
      <w:r w:rsidR="00FF66CA">
        <w:t xml:space="preserve">as </w:t>
      </w:r>
      <w:r w:rsidR="00E851B2">
        <w:t xml:space="preserve">a </w:t>
      </w:r>
      <w:r w:rsidR="00B8044A" w:rsidRPr="00B8044A">
        <w:t>switch</w:t>
      </w:r>
      <w:r w:rsidR="00E851B2">
        <w:t>ing</w:t>
      </w:r>
      <w:r w:rsidR="00FF66CA">
        <w:t xml:space="preserve"> option</w:t>
      </w:r>
      <w:r w:rsidR="00346661">
        <w:t xml:space="preserve"> </w:t>
      </w:r>
      <w:r w:rsidR="00B8044A" w:rsidRPr="00B8044A">
        <w:t xml:space="preserve">from </w:t>
      </w:r>
      <w:r w:rsidR="007F768A">
        <w:t>those planned business strategies</w:t>
      </w:r>
      <w:r w:rsidR="00B8044A" w:rsidRPr="00B8044A">
        <w:t xml:space="preserve"> </w:t>
      </w:r>
      <w:r w:rsidR="00BA6B8A">
        <w:t>or</w:t>
      </w:r>
      <w:r w:rsidR="00BA6B8A" w:rsidRPr="00B8044A">
        <w:t xml:space="preserve"> investment</w:t>
      </w:r>
      <w:r w:rsidR="00BA6B8A">
        <w:t>s</w:t>
      </w:r>
      <w:r w:rsidR="00BA6B8A" w:rsidRPr="00B8044A">
        <w:t xml:space="preserve"> </w:t>
      </w:r>
      <w:r w:rsidR="00B8044A" w:rsidRPr="00B8044A">
        <w:t xml:space="preserve">to </w:t>
      </w:r>
      <w:r w:rsidR="00C448FC">
        <w:t xml:space="preserve">an </w:t>
      </w:r>
      <w:r w:rsidR="00B8044A" w:rsidRPr="00B8044A">
        <w:t>alternative use (specified salvage value)</w:t>
      </w:r>
      <w:r w:rsidR="007F768A">
        <w:t>.</w:t>
      </w:r>
      <w:r w:rsidR="00870BF2">
        <w:t xml:space="preserve"> </w:t>
      </w:r>
      <w:r w:rsidR="00706F39">
        <w:t>W</w:t>
      </w:r>
      <w:r w:rsidR="001436C3" w:rsidRPr="00B8044A">
        <w:t xml:space="preserve">e use </w:t>
      </w:r>
      <w:proofErr w:type="spellStart"/>
      <w:r w:rsidR="001436C3" w:rsidRPr="00B8044A">
        <w:t>Carr</w:t>
      </w:r>
      <w:proofErr w:type="spellEnd"/>
      <w:r w:rsidR="001436C3" w:rsidRPr="00B8044A">
        <w:t xml:space="preserve"> (1988, 1995) combining both elements of compound and options (to expand and defer) to analyse European compound (or sequential) exchange options. The call option is </w:t>
      </w:r>
      <w:r w:rsidR="001436C3" w:rsidRPr="00B8044A">
        <w:rPr>
          <w:i/>
        </w:rPr>
        <w:t>C</w:t>
      </w:r>
      <w:r w:rsidR="001436C3" w:rsidRPr="00B8044A">
        <w:t>(</w:t>
      </w:r>
      <w:r w:rsidR="001436C3" w:rsidRPr="00B8044A">
        <w:rPr>
          <w:i/>
        </w:rPr>
        <w:t>S</w:t>
      </w:r>
      <w:r w:rsidR="001436C3" w:rsidRPr="00B8044A">
        <w:t>(</w:t>
      </w:r>
      <w:r w:rsidR="001436C3" w:rsidRPr="00B8044A">
        <w:rPr>
          <w:i/>
        </w:rPr>
        <w:t xml:space="preserve">V, I, </w:t>
      </w:r>
      <w:r w:rsidR="0010515D" w:rsidRPr="00F44633">
        <w:rPr>
          <w:noProof/>
          <w:position w:val="-6"/>
        </w:rPr>
        <w:object w:dxaOrig="200" w:dyaOrig="220" w14:anchorId="55C3F1FD">
          <v:shape id="_x0000_i1032" type="#_x0000_t75" alt="" style="width:11.05pt;height:12.85pt;mso-width-percent:0;mso-height-percent:0;mso-width-percent:0;mso-height-percent:0" o:ole="">
            <v:imagedata r:id="rId25" o:title=""/>
          </v:shape>
          <o:OLEObject Type="Embed" ProgID="Equation.3" ShapeID="_x0000_i1032" DrawAspect="Content" ObjectID="_1712048709" r:id="rId26"/>
        </w:object>
      </w:r>
      <w:r w:rsidR="001436C3" w:rsidRPr="00B8044A">
        <w:t xml:space="preserve">), </w:t>
      </w:r>
      <w:r w:rsidR="001436C3" w:rsidRPr="00B8044A">
        <w:rPr>
          <w:i/>
        </w:rPr>
        <w:t>E</w:t>
      </w:r>
      <w:r w:rsidR="001436C3" w:rsidRPr="00B8044A">
        <w:t xml:space="preserve">, </w:t>
      </w:r>
      <w:r w:rsidR="0010515D" w:rsidRPr="00F44633">
        <w:rPr>
          <w:noProof/>
          <w:position w:val="-6"/>
        </w:rPr>
        <w:object w:dxaOrig="240" w:dyaOrig="279" w14:anchorId="4DA27AEA">
          <v:shape id="_x0000_i1033" type="#_x0000_t75" alt="" style="width:12.85pt;height:14.25pt;mso-width-percent:0;mso-height-percent:0;mso-width-percent:0;mso-height-percent:0" o:ole="">
            <v:imagedata r:id="rId27" o:title=""/>
          </v:shape>
          <o:OLEObject Type="Embed" ProgID="Equation.3" ShapeID="_x0000_i1033" DrawAspect="Content" ObjectID="_1712048710" r:id="rId28"/>
        </w:object>
      </w:r>
      <w:r w:rsidR="001436C3" w:rsidRPr="00B8044A">
        <w:t xml:space="preserve">), giving the right upon paying an exercise price </w:t>
      </w:r>
      <w:r w:rsidR="001436C3" w:rsidRPr="00B8044A">
        <w:rPr>
          <w:i/>
        </w:rPr>
        <w:t>E</w:t>
      </w:r>
      <w:r w:rsidR="001436C3" w:rsidRPr="00B8044A">
        <w:t xml:space="preserve"> within time to maturity τ’, to acquire a subsequent simple (call) option, </w:t>
      </w:r>
      <w:r w:rsidR="001436C3" w:rsidRPr="00B8044A">
        <w:rPr>
          <w:i/>
        </w:rPr>
        <w:t>S</w:t>
      </w:r>
      <w:r w:rsidR="001436C3" w:rsidRPr="00B8044A">
        <w:t>(</w:t>
      </w:r>
      <w:r w:rsidR="001436C3" w:rsidRPr="00B8044A">
        <w:rPr>
          <w:i/>
        </w:rPr>
        <w:t>V, I, t</w:t>
      </w:r>
      <w:r w:rsidR="001436C3" w:rsidRPr="00B8044A">
        <w:t xml:space="preserve">), to exchange (give up) an underlying (“delivery”) risky asset, </w:t>
      </w:r>
      <w:r w:rsidR="001436C3" w:rsidRPr="00B8044A">
        <w:rPr>
          <w:i/>
        </w:rPr>
        <w:t>I</w:t>
      </w:r>
      <w:r w:rsidR="001436C3" w:rsidRPr="00B8044A">
        <w:t xml:space="preserve">, to receive another (“optioned”) risky asset, </w:t>
      </w:r>
      <w:r w:rsidR="001436C3" w:rsidRPr="00B8044A">
        <w:rPr>
          <w:i/>
        </w:rPr>
        <w:t>V</w:t>
      </w:r>
      <w:r w:rsidR="001436C3" w:rsidRPr="00B8044A">
        <w:t xml:space="preserve">, within time </w:t>
      </w:r>
      <w:r w:rsidR="001436C3" w:rsidRPr="00B8044A">
        <w:rPr>
          <w:i/>
        </w:rPr>
        <w:t>t</w:t>
      </w:r>
      <w:r w:rsidR="001436C3" w:rsidRPr="00B8044A">
        <w:t xml:space="preserve">. </w:t>
      </w:r>
    </w:p>
    <w:p w14:paraId="323A9858" w14:textId="0B958F9B" w:rsidR="001436C3" w:rsidRPr="00B8044A" w:rsidRDefault="001436C3" w:rsidP="009D468A">
      <w:pPr>
        <w:spacing w:before="120" w:line="480" w:lineRule="auto"/>
        <w:ind w:firstLine="284"/>
        <w:jc w:val="both"/>
      </w:pPr>
      <w:r w:rsidRPr="00B8044A">
        <w:t xml:space="preserve">Assume </w:t>
      </w:r>
      <w:r w:rsidRPr="00B8044A">
        <w:rPr>
          <w:i/>
        </w:rPr>
        <w:t>V</w:t>
      </w:r>
      <w:r w:rsidRPr="00B8044A">
        <w:t xml:space="preserve">, is stochastic, </w:t>
      </w:r>
      <w:r w:rsidRPr="00B8044A">
        <w:rPr>
          <w:i/>
        </w:rPr>
        <w:t>E</w:t>
      </w:r>
      <w:r w:rsidRPr="00B8044A">
        <w:t xml:space="preserve"> is a fixed proportion (</w:t>
      </w:r>
      <w:r w:rsidRPr="00B8044A">
        <w:rPr>
          <w:i/>
        </w:rPr>
        <w:t>q</w:t>
      </w:r>
      <w:r w:rsidRPr="00B8044A">
        <w:t xml:space="preserve">%) of the delivery asset, i.e., </w:t>
      </w:r>
      <w:r w:rsidRPr="00B8044A">
        <w:rPr>
          <w:i/>
        </w:rPr>
        <w:t xml:space="preserve">E </w:t>
      </w:r>
      <w:r w:rsidRPr="00B8044A">
        <w:t xml:space="preserve">= </w:t>
      </w:r>
      <w:proofErr w:type="spellStart"/>
      <w:r w:rsidRPr="00B8044A">
        <w:rPr>
          <w:i/>
        </w:rPr>
        <w:t>qI</w:t>
      </w:r>
      <w:proofErr w:type="spellEnd"/>
      <w:r w:rsidRPr="00B8044A">
        <w:t xml:space="preserve"> that the underlying risky assets </w:t>
      </w:r>
      <w:r w:rsidRPr="00B8044A">
        <w:rPr>
          <w:i/>
        </w:rPr>
        <w:t>V</w:t>
      </w:r>
      <w:r w:rsidRPr="00B8044A">
        <w:t xml:space="preserve"> and </w:t>
      </w:r>
      <w:r w:rsidRPr="00B8044A">
        <w:rPr>
          <w:i/>
        </w:rPr>
        <w:t>I</w:t>
      </w:r>
      <w:r w:rsidRPr="00B8044A">
        <w:t xml:space="preserve"> have no dividend-like pay</w:t>
      </w:r>
      <w:r>
        <w:t>-</w:t>
      </w:r>
      <w:r w:rsidRPr="00B8044A">
        <w:t>out</w:t>
      </w:r>
      <w:r>
        <w:t>s</w:t>
      </w:r>
      <w:r w:rsidRPr="00B8044A">
        <w:t xml:space="preserve">, and they follow a standard diffusion process as in Equation </w:t>
      </w:r>
      <w:r>
        <w:t>6</w:t>
      </w:r>
      <w:r w:rsidRPr="00B8044A">
        <w:t xml:space="preserve"> and Equation </w:t>
      </w:r>
      <w:r>
        <w:t>7</w:t>
      </w:r>
      <w:r w:rsidRPr="00B8044A">
        <w:t xml:space="preserve">    </w:t>
      </w:r>
    </w:p>
    <w:p w14:paraId="0CF32364" w14:textId="77777777" w:rsidR="001436C3" w:rsidRPr="00B8044A" w:rsidRDefault="0010515D" w:rsidP="009D468A">
      <w:pPr>
        <w:spacing w:before="120" w:line="480" w:lineRule="auto"/>
        <w:jc w:val="both"/>
      </w:pPr>
      <w:r w:rsidRPr="00F44633">
        <w:rPr>
          <w:noProof/>
          <w:position w:val="-24"/>
        </w:rPr>
        <w:object w:dxaOrig="1719" w:dyaOrig="620" w14:anchorId="41206AA8">
          <v:shape id="_x0000_i1034" type="#_x0000_t75" alt="" style="width:86.25pt;height:31.35pt;mso-width-percent:0;mso-height-percent:0;mso-width-percent:0;mso-height-percent:0" o:ole="">
            <v:imagedata r:id="rId11" o:title=""/>
          </v:shape>
          <o:OLEObject Type="Embed" ProgID="Equation.3" ShapeID="_x0000_i1034" DrawAspect="Content" ObjectID="_1712048711" r:id="rId29"/>
        </w:object>
      </w:r>
      <w:r w:rsidR="001436C3" w:rsidRPr="00B8044A">
        <w:t>………….</w:t>
      </w:r>
      <w:r w:rsidR="001436C3">
        <w:t xml:space="preserve"> </w:t>
      </w:r>
      <w:r w:rsidR="001436C3" w:rsidRPr="00B8044A">
        <w:t>(</w:t>
      </w:r>
      <w:r w:rsidR="001436C3">
        <w:t>6</w:t>
      </w:r>
      <w:r w:rsidR="001436C3" w:rsidRPr="00B8044A">
        <w:t>)</w:t>
      </w:r>
    </w:p>
    <w:p w14:paraId="66A16860" w14:textId="77777777" w:rsidR="001436C3" w:rsidRPr="00B8044A" w:rsidRDefault="0010515D" w:rsidP="009D468A">
      <w:pPr>
        <w:spacing w:before="120" w:line="480" w:lineRule="auto"/>
        <w:jc w:val="both"/>
      </w:pPr>
      <w:r w:rsidRPr="00F44633">
        <w:rPr>
          <w:noProof/>
          <w:position w:val="-24"/>
        </w:rPr>
        <w:object w:dxaOrig="1820" w:dyaOrig="620" w14:anchorId="515C3593">
          <v:shape id="_x0000_i1035" type="#_x0000_t75" alt="" style="width:92.65pt;height:31.35pt;mso-width-percent:0;mso-height-percent:0;mso-width-percent:0;mso-height-percent:0" o:ole="">
            <v:imagedata r:id="rId30" o:title=""/>
          </v:shape>
          <o:OLEObject Type="Embed" ProgID="Equation.3" ShapeID="_x0000_i1035" DrawAspect="Content" ObjectID="_1712048712" r:id="rId31"/>
        </w:object>
      </w:r>
      <w:r w:rsidR="001436C3" w:rsidRPr="00B8044A">
        <w:t>…………</w:t>
      </w:r>
      <w:r w:rsidR="001436C3">
        <w:t xml:space="preserve"> </w:t>
      </w:r>
      <w:r w:rsidR="001436C3" w:rsidRPr="00B8044A">
        <w:t>(</w:t>
      </w:r>
      <w:r w:rsidR="001436C3">
        <w:t>7</w:t>
      </w:r>
      <w:r w:rsidR="001436C3" w:rsidRPr="00B8044A">
        <w:t>)</w:t>
      </w:r>
    </w:p>
    <w:p w14:paraId="592E1BCA" w14:textId="77777777" w:rsidR="001436C3" w:rsidRPr="00B8044A" w:rsidRDefault="001436C3" w:rsidP="009D468A">
      <w:pPr>
        <w:spacing w:before="120" w:line="480" w:lineRule="auto"/>
        <w:jc w:val="both"/>
      </w:pPr>
      <w:r w:rsidRPr="00B8044A">
        <w:lastRenderedPageBreak/>
        <w:t xml:space="preserve">In a risk-neutral (no-arbitrage) equilibrium, </w:t>
      </w:r>
      <w:r w:rsidRPr="00B8044A">
        <w:rPr>
          <w:i/>
        </w:rPr>
        <w:t>C</w:t>
      </w:r>
      <w:r w:rsidRPr="00B8044A">
        <w:t xml:space="preserve"> must then satisfy the fundamental partial differential equation </w:t>
      </w:r>
    </w:p>
    <w:p w14:paraId="58ED0A52" w14:textId="77777777" w:rsidR="001436C3" w:rsidRPr="00B8044A" w:rsidRDefault="0010515D" w:rsidP="009D468A">
      <w:pPr>
        <w:spacing w:before="120" w:line="480" w:lineRule="auto"/>
        <w:jc w:val="both"/>
      </w:pPr>
      <w:r w:rsidRPr="00F44633">
        <w:rPr>
          <w:noProof/>
          <w:position w:val="-12"/>
        </w:rPr>
        <w:object w:dxaOrig="5080" w:dyaOrig="380" w14:anchorId="6AFA8039">
          <v:shape id="_x0000_i1036" type="#_x0000_t75" alt="" style="width:251.65pt;height:20.65pt;mso-width-percent:0;mso-height-percent:0;mso-width-percent:0;mso-height-percent:0" o:ole="">
            <v:imagedata r:id="rId32" o:title=""/>
          </v:shape>
          <o:OLEObject Type="Embed" ProgID="Equation.3" ShapeID="_x0000_i1036" DrawAspect="Content" ObjectID="_1712048713" r:id="rId33"/>
        </w:object>
      </w:r>
      <w:r w:rsidR="001436C3" w:rsidRPr="00B8044A">
        <w:t>…</w:t>
      </w:r>
      <w:r w:rsidR="001436C3">
        <w:t xml:space="preserve">….. </w:t>
      </w:r>
      <w:r w:rsidR="001436C3" w:rsidRPr="00B8044A">
        <w:t>(</w:t>
      </w:r>
      <w:r w:rsidR="001436C3">
        <w:t>8</w:t>
      </w:r>
      <w:r w:rsidR="001436C3" w:rsidRPr="00B8044A">
        <w:t>)</w:t>
      </w:r>
    </w:p>
    <w:p w14:paraId="18B1C1E2" w14:textId="77777777" w:rsidR="001436C3" w:rsidRPr="00B8044A" w:rsidRDefault="001436C3" w:rsidP="009D468A">
      <w:pPr>
        <w:spacing w:before="120" w:line="480" w:lineRule="auto"/>
        <w:jc w:val="both"/>
      </w:pPr>
      <w:r w:rsidRPr="00B8044A">
        <w:t>s. t.</w:t>
      </w:r>
    </w:p>
    <w:p w14:paraId="7667C9A0" w14:textId="77777777" w:rsidR="001436C3" w:rsidRPr="00B8044A" w:rsidRDefault="0010515D" w:rsidP="009D468A">
      <w:pPr>
        <w:spacing w:before="120" w:line="480" w:lineRule="auto"/>
        <w:jc w:val="both"/>
      </w:pPr>
      <w:r w:rsidRPr="00F44633">
        <w:rPr>
          <w:noProof/>
          <w:position w:val="-10"/>
        </w:rPr>
        <w:object w:dxaOrig="2700" w:dyaOrig="320" w14:anchorId="72A34C46">
          <v:shape id="_x0000_i1037" type="#_x0000_t75" alt="" style="width:135.45pt;height:15.35pt;mso-width-percent:0;mso-height-percent:0;mso-width-percent:0;mso-height-percent:0" o:ole="">
            <v:imagedata r:id="rId34" o:title=""/>
          </v:shape>
          <o:OLEObject Type="Embed" ProgID="Equation.3" ShapeID="_x0000_i1037" DrawAspect="Content" ObjectID="_1712048714" r:id="rId35"/>
        </w:object>
      </w:r>
    </w:p>
    <w:p w14:paraId="06AEE6C1" w14:textId="62F1A53D" w:rsidR="001436C3" w:rsidRPr="00B8044A" w:rsidRDefault="001436C3" w:rsidP="009D468A">
      <w:pPr>
        <w:spacing w:before="120" w:line="480" w:lineRule="auto"/>
        <w:jc w:val="both"/>
      </w:pPr>
      <w:r w:rsidRPr="00B8044A">
        <w:t xml:space="preserve">But the value of the simple </w:t>
      </w:r>
      <w:r w:rsidR="00767440">
        <w:t>switch</w:t>
      </w:r>
      <w:r w:rsidRPr="00B8044A">
        <w:t xml:space="preserve"> option, </w:t>
      </w:r>
      <w:r w:rsidRPr="00B8044A">
        <w:rPr>
          <w:i/>
        </w:rPr>
        <w:t>S</w:t>
      </w:r>
      <w:r w:rsidR="00767440">
        <w:rPr>
          <w:i/>
        </w:rPr>
        <w:t>,</w:t>
      </w:r>
      <w:r w:rsidRPr="00B8044A">
        <w:t xml:space="preserve"> must also satisfy the same fundamental partial differential equation</w:t>
      </w:r>
    </w:p>
    <w:p w14:paraId="7ED735AE" w14:textId="77777777" w:rsidR="001436C3" w:rsidRPr="00B8044A" w:rsidRDefault="0010515D" w:rsidP="009D468A">
      <w:pPr>
        <w:spacing w:before="120" w:line="480" w:lineRule="auto"/>
        <w:jc w:val="both"/>
      </w:pPr>
      <w:r w:rsidRPr="00F44633">
        <w:rPr>
          <w:noProof/>
          <w:position w:val="-12"/>
        </w:rPr>
        <w:object w:dxaOrig="5080" w:dyaOrig="380" w14:anchorId="41E5311C">
          <v:shape id="_x0000_i1038" type="#_x0000_t75" alt="" style="width:251.65pt;height:20.65pt;mso-width-percent:0;mso-height-percent:0;mso-width-percent:0;mso-height-percent:0" o:ole="">
            <v:imagedata r:id="rId36" o:title=""/>
          </v:shape>
          <o:OLEObject Type="Embed" ProgID="Equation.3" ShapeID="_x0000_i1038" DrawAspect="Content" ObjectID="_1712048715" r:id="rId37"/>
        </w:object>
      </w:r>
      <w:r w:rsidR="001436C3" w:rsidRPr="00B8044A">
        <w:t>…</w:t>
      </w:r>
      <w:r w:rsidR="001436C3">
        <w:t xml:space="preserve">….. </w:t>
      </w:r>
      <w:r w:rsidR="001436C3" w:rsidRPr="00B8044A">
        <w:t>(</w:t>
      </w:r>
      <w:r w:rsidR="001436C3">
        <w:t>9</w:t>
      </w:r>
      <w:r w:rsidR="001436C3" w:rsidRPr="00B8044A">
        <w:t>)</w:t>
      </w:r>
    </w:p>
    <w:p w14:paraId="21333D90" w14:textId="77777777" w:rsidR="001436C3" w:rsidRPr="00B8044A" w:rsidRDefault="001436C3" w:rsidP="009D468A">
      <w:pPr>
        <w:spacing w:before="120" w:line="480" w:lineRule="auto"/>
        <w:jc w:val="both"/>
      </w:pPr>
      <w:r w:rsidRPr="00B8044A">
        <w:t>s. t.</w:t>
      </w:r>
    </w:p>
    <w:p w14:paraId="45CD7FC6" w14:textId="77777777" w:rsidR="001436C3" w:rsidRPr="00B8044A" w:rsidRDefault="0010515D" w:rsidP="009D468A">
      <w:pPr>
        <w:spacing w:before="120" w:line="480" w:lineRule="auto"/>
        <w:jc w:val="both"/>
      </w:pPr>
      <w:r w:rsidRPr="00F44633">
        <w:rPr>
          <w:noProof/>
          <w:position w:val="-10"/>
        </w:rPr>
        <w:object w:dxaOrig="2480" w:dyaOrig="320" w14:anchorId="266D7EA6">
          <v:shape id="_x0000_i1039" type="#_x0000_t75" alt="" style="width:124.4pt;height:15.35pt;mso-width-percent:0;mso-height-percent:0;mso-width-percent:0;mso-height-percent:0" o:ole="">
            <v:imagedata r:id="rId38" o:title=""/>
          </v:shape>
          <o:OLEObject Type="Embed" ProgID="Equation.3" ShapeID="_x0000_i1039" DrawAspect="Content" ObjectID="_1712048716" r:id="rId39"/>
        </w:object>
      </w:r>
    </w:p>
    <w:p w14:paraId="77ABAD30" w14:textId="69A74CAE" w:rsidR="001436C3" w:rsidRPr="00B8044A" w:rsidRDefault="001436C3" w:rsidP="009D468A">
      <w:pPr>
        <w:spacing w:before="120" w:line="480" w:lineRule="auto"/>
        <w:jc w:val="both"/>
      </w:pPr>
      <w:r w:rsidRPr="00B8044A">
        <w:t>The solution</w:t>
      </w:r>
      <w:r w:rsidR="00767440">
        <w:t xml:space="preserve"> </w:t>
      </w:r>
      <w:r w:rsidRPr="00B8044A">
        <w:t xml:space="preserve">to the latter partial differential equation was already derived by </w:t>
      </w:r>
      <w:proofErr w:type="spellStart"/>
      <w:r w:rsidRPr="00B8044A">
        <w:t>Margrabe</w:t>
      </w:r>
      <w:proofErr w:type="spellEnd"/>
      <w:r w:rsidRPr="00B8044A">
        <w:t xml:space="preserve"> (1978):</w:t>
      </w:r>
    </w:p>
    <w:p w14:paraId="101FF79C" w14:textId="77777777" w:rsidR="001436C3" w:rsidRPr="00B8044A" w:rsidRDefault="0010515D" w:rsidP="009D468A">
      <w:pPr>
        <w:spacing w:before="120" w:line="480" w:lineRule="auto"/>
        <w:jc w:val="both"/>
      </w:pPr>
      <w:r w:rsidRPr="00F44633">
        <w:rPr>
          <w:noProof/>
          <w:position w:val="-10"/>
        </w:rPr>
        <w:object w:dxaOrig="3040" w:dyaOrig="340" w14:anchorId="09F73384">
          <v:shape id="_x0000_i1040" type="#_x0000_t75" alt="" style="width:154pt;height:18.2pt;mso-width-percent:0;mso-height-percent:0;mso-width-percent:0;mso-height-percent:0" o:ole="">
            <v:imagedata r:id="rId40" o:title=""/>
          </v:shape>
          <o:OLEObject Type="Embed" ProgID="Equation.3" ShapeID="_x0000_i1040" DrawAspect="Content" ObjectID="_1712048717" r:id="rId41"/>
        </w:object>
      </w:r>
      <w:r w:rsidR="001436C3" w:rsidRPr="00B8044A">
        <w:t>……………</w:t>
      </w:r>
      <w:r w:rsidR="001436C3">
        <w:t xml:space="preserve"> </w:t>
      </w:r>
      <w:r w:rsidR="001436C3" w:rsidRPr="00B8044A">
        <w:t>(</w:t>
      </w:r>
      <w:r w:rsidR="001436C3">
        <w:t>10</w:t>
      </w:r>
      <w:r w:rsidR="001436C3" w:rsidRPr="00B8044A">
        <w:t>)</w:t>
      </w:r>
    </w:p>
    <w:p w14:paraId="356AE82D" w14:textId="77777777" w:rsidR="001436C3" w:rsidRPr="00B8044A" w:rsidRDefault="001436C3" w:rsidP="009D468A">
      <w:pPr>
        <w:spacing w:before="120" w:line="480" w:lineRule="auto"/>
        <w:jc w:val="both"/>
      </w:pPr>
      <w:proofErr w:type="gramStart"/>
      <w:r w:rsidRPr="00B8044A">
        <w:t>where</w:t>
      </w:r>
      <w:proofErr w:type="gramEnd"/>
      <w:r w:rsidRPr="00B8044A">
        <w:t xml:space="preserve"> </w:t>
      </w:r>
    </w:p>
    <w:p w14:paraId="6159CB48" w14:textId="77777777" w:rsidR="001436C3" w:rsidRPr="00B8044A" w:rsidRDefault="0010515D" w:rsidP="009D468A">
      <w:pPr>
        <w:spacing w:before="120" w:line="480" w:lineRule="auto"/>
        <w:jc w:val="both"/>
      </w:pPr>
      <w:r w:rsidRPr="00F44633">
        <w:rPr>
          <w:noProof/>
          <w:position w:val="-28"/>
        </w:rPr>
        <w:object w:dxaOrig="1840" w:dyaOrig="700" w14:anchorId="69F2A556">
          <v:shape id="_x0000_i1041" type="#_x0000_t75" alt="" style="width:94.8pt;height:34.2pt;mso-width-percent:0;mso-height-percent:0;mso-width-percent:0;mso-height-percent:0" o:ole="">
            <v:imagedata r:id="rId42" o:title=""/>
          </v:shape>
          <o:OLEObject Type="Embed" ProgID="Equation.3" ShapeID="_x0000_i1041" DrawAspect="Content" ObjectID="_1712048718" r:id="rId43"/>
        </w:object>
      </w:r>
      <w:r w:rsidR="001436C3">
        <w:rPr>
          <w:noProof/>
        </w:rPr>
        <w:t xml:space="preserve">……………………….... </w:t>
      </w:r>
      <w:r w:rsidR="001436C3" w:rsidRPr="00B8044A">
        <w:t>(</w:t>
      </w:r>
      <w:r w:rsidR="001436C3">
        <w:t>11</w:t>
      </w:r>
      <w:r w:rsidR="001436C3" w:rsidRPr="00B8044A">
        <w:t>)</w:t>
      </w:r>
    </w:p>
    <w:p w14:paraId="4CD86731" w14:textId="77777777" w:rsidR="001436C3" w:rsidRPr="00B8044A" w:rsidRDefault="001436C3" w:rsidP="009D468A">
      <w:pPr>
        <w:spacing w:before="120" w:line="480" w:lineRule="auto"/>
        <w:jc w:val="both"/>
      </w:pPr>
      <w:r w:rsidRPr="00B8044A">
        <w:t xml:space="preserve">and </w:t>
      </w:r>
    </w:p>
    <w:p w14:paraId="24FB9B11" w14:textId="77777777" w:rsidR="001436C3" w:rsidRPr="00B8044A" w:rsidRDefault="0010515D" w:rsidP="009D468A">
      <w:pPr>
        <w:spacing w:before="120" w:line="480" w:lineRule="auto"/>
        <w:jc w:val="both"/>
      </w:pPr>
      <w:r w:rsidRPr="00F44633">
        <w:rPr>
          <w:noProof/>
          <w:position w:val="-46"/>
        </w:rPr>
        <w:object w:dxaOrig="1480" w:dyaOrig="1100" w14:anchorId="6E22DD45">
          <v:shape id="_x0000_i1042" type="#_x0000_t75" alt="" style="width:79.5pt;height:59.15pt;mso-width-percent:0;mso-height-percent:0;mso-width-percent:0;mso-height-percent:0" o:ole="">
            <v:imagedata r:id="rId44" o:title=""/>
          </v:shape>
          <o:OLEObject Type="Embed" ProgID="Equation.3" ShapeID="_x0000_i1042" DrawAspect="Content" ObjectID="_1712048719" r:id="rId45"/>
        </w:object>
      </w:r>
      <w:r w:rsidR="001436C3">
        <w:rPr>
          <w:noProof/>
        </w:rPr>
        <w:t xml:space="preserve">…………………………….. </w:t>
      </w:r>
      <w:r w:rsidR="001436C3" w:rsidRPr="00B8044A">
        <w:t>(</w:t>
      </w:r>
      <w:r w:rsidR="001436C3">
        <w:t>12</w:t>
      </w:r>
      <w:r w:rsidR="001436C3" w:rsidRPr="00B8044A">
        <w:t>)</w:t>
      </w:r>
    </w:p>
    <w:p w14:paraId="6378B3F7" w14:textId="77777777" w:rsidR="001436C3" w:rsidRPr="00B8044A" w:rsidRDefault="001436C3" w:rsidP="009D468A">
      <w:pPr>
        <w:spacing w:before="120" w:line="480" w:lineRule="auto"/>
        <w:jc w:val="both"/>
      </w:pPr>
      <w:r w:rsidRPr="00B8044A">
        <w:t xml:space="preserve">and </w:t>
      </w:r>
    </w:p>
    <w:p w14:paraId="289CEDF0" w14:textId="77777777" w:rsidR="001436C3" w:rsidRPr="00B8044A" w:rsidRDefault="0010515D" w:rsidP="009D468A">
      <w:pPr>
        <w:spacing w:before="120" w:line="480" w:lineRule="auto"/>
        <w:jc w:val="both"/>
      </w:pPr>
      <w:r w:rsidRPr="00F44633">
        <w:rPr>
          <w:noProof/>
          <w:position w:val="-10"/>
        </w:rPr>
        <w:object w:dxaOrig="2320" w:dyaOrig="360" w14:anchorId="2B319F40">
          <v:shape id="_x0000_i1043" type="#_x0000_t75" alt="" style="width:115.5pt;height:18.2pt;mso-width-percent:0;mso-height-percent:0;mso-width-percent:0;mso-height-percent:0" o:ole="">
            <v:imagedata r:id="rId46" o:title=""/>
          </v:shape>
          <o:OLEObject Type="Embed" ProgID="Equation.3" ShapeID="_x0000_i1043" DrawAspect="Content" ObjectID="_1712048720" r:id="rId47"/>
        </w:object>
      </w:r>
      <w:r w:rsidR="001436C3">
        <w:rPr>
          <w:noProof/>
        </w:rPr>
        <w:t xml:space="preserve">  ………….………   </w:t>
      </w:r>
      <w:r w:rsidR="001436C3" w:rsidRPr="00B8044A">
        <w:t>(</w:t>
      </w:r>
      <w:r w:rsidR="001436C3">
        <w:t>13</w:t>
      </w:r>
      <w:r w:rsidR="001436C3" w:rsidRPr="00B8044A">
        <w:t>)</w:t>
      </w:r>
    </w:p>
    <w:p w14:paraId="2760D68C" w14:textId="6FEACEF0" w:rsidR="001436C3" w:rsidRPr="00B8044A" w:rsidRDefault="001436C3" w:rsidP="009D468A">
      <w:pPr>
        <w:spacing w:before="120" w:line="480" w:lineRule="auto"/>
        <w:jc w:val="both"/>
      </w:pPr>
      <w:r w:rsidRPr="00B8044A">
        <w:lastRenderedPageBreak/>
        <w:t xml:space="preserve">Again, using the delivery asset as a numeraire (along with </w:t>
      </w:r>
      <w:r w:rsidRPr="00B8044A">
        <w:rPr>
          <w:i/>
        </w:rPr>
        <w:t xml:space="preserve">E </w:t>
      </w:r>
      <w:r w:rsidRPr="00B8044A">
        <w:t xml:space="preserve">= </w:t>
      </w:r>
      <w:proofErr w:type="spellStart"/>
      <w:r w:rsidRPr="00B8044A">
        <w:rPr>
          <w:i/>
        </w:rPr>
        <w:t>qI</w:t>
      </w:r>
      <w:proofErr w:type="spellEnd"/>
      <w:r w:rsidRPr="00B8044A">
        <w:t xml:space="preserve">), we can reduce the dimensionality of the problem to a single stochastic variable, </w:t>
      </w:r>
      <w:r w:rsidR="0010515D" w:rsidRPr="00F44633">
        <w:rPr>
          <w:noProof/>
          <w:position w:val="-10"/>
        </w:rPr>
        <w:object w:dxaOrig="1020" w:dyaOrig="320" w14:anchorId="3FBAE968">
          <v:shape id="_x0000_i1044" type="#_x0000_t75" alt="" style="width:52.4pt;height:15.35pt;mso-width-percent:0;mso-height-percent:0;mso-width-percent:0;mso-height-percent:0" o:ole="">
            <v:imagedata r:id="rId48" o:title=""/>
          </v:shape>
          <o:OLEObject Type="Embed" ProgID="Equation.3" ShapeID="_x0000_i1044" DrawAspect="Content" ObjectID="_1712048721" r:id="rId49"/>
        </w:object>
      </w:r>
      <w:r w:rsidRPr="00B8044A">
        <w:t xml:space="preserve"> that enable to solve Eq</w:t>
      </w:r>
      <w:r>
        <w:t>.</w:t>
      </w:r>
      <w:r w:rsidRPr="00B8044A">
        <w:t xml:space="preserve"> </w:t>
      </w:r>
      <w:r>
        <w:t>8</w:t>
      </w:r>
      <w:r w:rsidRPr="00B8044A">
        <w:t xml:space="preserve"> and Eq</w:t>
      </w:r>
      <w:r w:rsidR="00767440">
        <w:t>.</w:t>
      </w:r>
      <w:r w:rsidRPr="00B8044A">
        <w:t xml:space="preserve"> </w:t>
      </w:r>
      <w:r>
        <w:t xml:space="preserve">9 </w:t>
      </w:r>
      <w:r w:rsidRPr="00B8044A">
        <w:t xml:space="preserve">to obtain the value of the compound exchange option: </w:t>
      </w:r>
    </w:p>
    <w:p w14:paraId="491381D7" w14:textId="77777777" w:rsidR="001436C3" w:rsidRPr="00B8044A" w:rsidRDefault="0010515D" w:rsidP="009D468A">
      <w:pPr>
        <w:spacing w:before="120" w:line="480" w:lineRule="auto"/>
        <w:jc w:val="both"/>
      </w:pPr>
      <w:r w:rsidRPr="00F44633">
        <w:rPr>
          <w:noProof/>
          <w:position w:val="-10"/>
        </w:rPr>
        <w:object w:dxaOrig="6500" w:dyaOrig="360" w14:anchorId="4DC9E375">
          <v:shape id="_x0000_i1045" type="#_x0000_t75" alt="" style="width:326.5pt;height:18.2pt;mso-width-percent:0;mso-height-percent:0;mso-width-percent:0;mso-height-percent:0" o:ole="">
            <v:imagedata r:id="rId50" o:title=""/>
          </v:shape>
          <o:OLEObject Type="Embed" ProgID="Equation.3" ShapeID="_x0000_i1045" DrawAspect="Content" ObjectID="_1712048722" r:id="rId51"/>
        </w:object>
      </w:r>
      <w:r w:rsidR="001436C3" w:rsidRPr="00B8044A">
        <w:t>…</w:t>
      </w:r>
      <w:r w:rsidR="001436C3">
        <w:t xml:space="preserve">…. </w:t>
      </w:r>
      <w:r w:rsidR="001436C3" w:rsidRPr="00B8044A">
        <w:t>(</w:t>
      </w:r>
      <w:r w:rsidR="001436C3">
        <w:t>14</w:t>
      </w:r>
      <w:r w:rsidR="001436C3" w:rsidRPr="00B8044A">
        <w:t>)</w:t>
      </w:r>
    </w:p>
    <w:p w14:paraId="0C68EBCD" w14:textId="18BD6B9F" w:rsidR="001436C3" w:rsidRPr="00B8044A" w:rsidRDefault="00C03FEB" w:rsidP="009D468A">
      <w:pPr>
        <w:spacing w:before="120" w:line="480" w:lineRule="auto"/>
        <w:jc w:val="both"/>
      </w:pPr>
      <w:proofErr w:type="gramStart"/>
      <w:r>
        <w:t>W</w:t>
      </w:r>
      <w:r w:rsidR="001436C3" w:rsidRPr="00B8044A">
        <w:t>here</w:t>
      </w:r>
      <w:proofErr w:type="gramEnd"/>
      <w:r w:rsidR="001436C3" w:rsidRPr="00B8044A">
        <w:t xml:space="preserve"> </w:t>
      </w:r>
    </w:p>
    <w:p w14:paraId="302AD105" w14:textId="77777777" w:rsidR="001436C3" w:rsidRPr="00B8044A" w:rsidRDefault="0010515D" w:rsidP="009D468A">
      <w:pPr>
        <w:spacing w:before="120" w:line="480" w:lineRule="auto"/>
        <w:jc w:val="both"/>
      </w:pPr>
      <w:r w:rsidRPr="00F44633">
        <w:rPr>
          <w:noProof/>
          <w:position w:val="-28"/>
        </w:rPr>
        <w:object w:dxaOrig="1840" w:dyaOrig="700" w14:anchorId="3B2A3661">
          <v:shape id="_x0000_i1046" type="#_x0000_t75" alt="" style="width:94.8pt;height:34.2pt;mso-width-percent:0;mso-height-percent:0;mso-width-percent:0;mso-height-percent:0" o:ole="">
            <v:imagedata r:id="rId42" o:title=""/>
          </v:shape>
          <o:OLEObject Type="Embed" ProgID="Equation.3" ShapeID="_x0000_i1046" DrawAspect="Content" ObjectID="_1712048723" r:id="rId52"/>
        </w:object>
      </w:r>
      <w:r w:rsidR="001436C3">
        <w:rPr>
          <w:noProof/>
        </w:rPr>
        <w:t xml:space="preserve">………………..   </w:t>
      </w:r>
      <w:r w:rsidR="001436C3" w:rsidRPr="00B8044A">
        <w:t>(</w:t>
      </w:r>
      <w:r w:rsidR="001436C3">
        <w:t>15</w:t>
      </w:r>
      <w:r w:rsidR="001436C3" w:rsidRPr="00B8044A">
        <w:t>)</w:t>
      </w:r>
    </w:p>
    <w:p w14:paraId="75A17379" w14:textId="77777777" w:rsidR="001436C3" w:rsidRPr="00B8044A" w:rsidRDefault="0010515D" w:rsidP="009D468A">
      <w:pPr>
        <w:spacing w:before="120" w:line="480" w:lineRule="auto"/>
        <w:jc w:val="both"/>
      </w:pPr>
      <w:r w:rsidRPr="00F44633">
        <w:rPr>
          <w:noProof/>
          <w:position w:val="-10"/>
        </w:rPr>
        <w:object w:dxaOrig="1480" w:dyaOrig="380" w14:anchorId="616492D0">
          <v:shape id="_x0000_i1047" type="#_x0000_t75" alt="" style="width:79.5pt;height:20.65pt;mso-width-percent:0;mso-height-percent:0;mso-width-percent:0;mso-height-percent:0" o:ole="">
            <v:imagedata r:id="rId53" o:title=""/>
          </v:shape>
          <o:OLEObject Type="Embed" ProgID="Equation.3" ShapeID="_x0000_i1047" DrawAspect="Content" ObjectID="_1712048724" r:id="rId54"/>
        </w:object>
      </w:r>
      <w:r w:rsidR="001436C3">
        <w:rPr>
          <w:noProof/>
        </w:rPr>
        <w:t xml:space="preserve">……………………. </w:t>
      </w:r>
      <w:r w:rsidR="001436C3" w:rsidRPr="00B8044A">
        <w:t>(</w:t>
      </w:r>
      <w:r w:rsidR="001436C3">
        <w:t>16</w:t>
      </w:r>
      <w:r w:rsidR="001436C3" w:rsidRPr="00B8044A">
        <w:t>)</w:t>
      </w:r>
    </w:p>
    <w:p w14:paraId="4DD7CDCF" w14:textId="2B32FB51" w:rsidR="001436C3" w:rsidRPr="00B8044A" w:rsidRDefault="0010515D" w:rsidP="009D468A">
      <w:pPr>
        <w:spacing w:before="120" w:line="480" w:lineRule="auto"/>
        <w:jc w:val="both"/>
      </w:pPr>
      <w:r w:rsidRPr="00F44633">
        <w:rPr>
          <w:noProof/>
          <w:position w:val="-28"/>
        </w:rPr>
        <w:object w:dxaOrig="2400" w:dyaOrig="700" w14:anchorId="5B3893A2">
          <v:shape id="_x0000_i1048" type="#_x0000_t75" alt="" style="width:120.1pt;height:33.5pt;mso-width-percent:0;mso-height-percent:0;mso-width-percent:0;mso-height-percent:0" o:ole="">
            <v:imagedata r:id="rId55" o:title=""/>
          </v:shape>
          <o:OLEObject Type="Embed" ProgID="Equation.3" ShapeID="_x0000_i1048" DrawAspect="Content" ObjectID="_1712048725" r:id="rId56"/>
        </w:object>
      </w:r>
      <w:r w:rsidR="001436C3">
        <w:rPr>
          <w:noProof/>
        </w:rPr>
        <w:t xml:space="preserve">……………  </w:t>
      </w:r>
      <w:r w:rsidR="001436C3" w:rsidRPr="00B8044A">
        <w:t>(</w:t>
      </w:r>
      <w:r w:rsidR="001436C3">
        <w:t>1</w:t>
      </w:r>
      <w:r w:rsidR="00706F39">
        <w:t>7</w:t>
      </w:r>
      <w:r w:rsidR="001436C3" w:rsidRPr="00B8044A">
        <w:t>)</w:t>
      </w:r>
    </w:p>
    <w:p w14:paraId="6AFF6AEB" w14:textId="3ABA9EB8" w:rsidR="001436C3" w:rsidRPr="00B8044A" w:rsidRDefault="0010515D" w:rsidP="009D468A">
      <w:pPr>
        <w:spacing w:before="120" w:line="480" w:lineRule="auto"/>
        <w:jc w:val="both"/>
      </w:pPr>
      <w:r w:rsidRPr="00F44633">
        <w:rPr>
          <w:noProof/>
          <w:position w:val="-46"/>
        </w:rPr>
        <w:object w:dxaOrig="1719" w:dyaOrig="1140" w14:anchorId="3BE08482">
          <v:shape id="_x0000_i1049" type="#_x0000_t75" alt="" style="width:97.65pt;height:65.95pt;mso-width-percent:0;mso-height-percent:0;mso-width-percent:0;mso-height-percent:0" o:ole="">
            <v:imagedata r:id="rId57" o:title=""/>
          </v:shape>
          <o:OLEObject Type="Embed" ProgID="Equation.3" ShapeID="_x0000_i1049" DrawAspect="Content" ObjectID="_1712048726" r:id="rId58"/>
        </w:object>
      </w:r>
      <w:r w:rsidR="001436C3">
        <w:rPr>
          <w:noProof/>
        </w:rPr>
        <w:t xml:space="preserve">……………….. . </w:t>
      </w:r>
      <w:r w:rsidR="001436C3" w:rsidRPr="00B8044A">
        <w:t>(</w:t>
      </w:r>
      <w:r w:rsidR="001436C3">
        <w:t>1</w:t>
      </w:r>
      <w:r w:rsidR="00706F39">
        <w:t>8</w:t>
      </w:r>
      <w:r w:rsidR="001436C3" w:rsidRPr="00B8044A">
        <w:t>)</w:t>
      </w:r>
    </w:p>
    <w:p w14:paraId="63B5A8B6" w14:textId="77777777" w:rsidR="001436C3" w:rsidRPr="00B8044A" w:rsidRDefault="001436C3" w:rsidP="009D468A">
      <w:pPr>
        <w:spacing w:before="120" w:line="480" w:lineRule="auto"/>
        <w:jc w:val="both"/>
      </w:pPr>
      <w:r w:rsidRPr="00B8044A">
        <w:t xml:space="preserve">and </w:t>
      </w:r>
    </w:p>
    <w:p w14:paraId="4B164B52" w14:textId="1C58B5A2" w:rsidR="001436C3" w:rsidRPr="00B8044A" w:rsidRDefault="0010515D" w:rsidP="009D468A">
      <w:pPr>
        <w:spacing w:before="120" w:line="480" w:lineRule="auto"/>
        <w:jc w:val="both"/>
      </w:pPr>
      <w:r w:rsidRPr="00F44633">
        <w:rPr>
          <w:noProof/>
          <w:position w:val="-10"/>
        </w:rPr>
        <w:object w:dxaOrig="2340" w:dyaOrig="360" w14:anchorId="1345008A">
          <v:shape id="_x0000_i1050" type="#_x0000_t75" alt="" style="width:116.2pt;height:18.2pt;mso-width-percent:0;mso-height-percent:0;mso-width-percent:0;mso-height-percent:0" o:ole="">
            <v:imagedata r:id="rId59" o:title=""/>
          </v:shape>
          <o:OLEObject Type="Embed" ProgID="Equation.3" ShapeID="_x0000_i1050" DrawAspect="Content" ObjectID="_1712048727" r:id="rId60"/>
        </w:object>
      </w:r>
      <w:r w:rsidR="001436C3">
        <w:rPr>
          <w:noProof/>
        </w:rPr>
        <w:t xml:space="preserve">…………… ..  </w:t>
      </w:r>
      <w:r w:rsidR="001436C3" w:rsidRPr="00B8044A">
        <w:t>(</w:t>
      </w:r>
      <w:r w:rsidR="00706F39">
        <w:t>19</w:t>
      </w:r>
      <w:r w:rsidR="001436C3" w:rsidRPr="00B8044A">
        <w:t>)</w:t>
      </w:r>
    </w:p>
    <w:p w14:paraId="18ECB13E" w14:textId="527C4D46" w:rsidR="009409BC" w:rsidRDefault="001436C3" w:rsidP="009D468A">
      <w:pPr>
        <w:spacing w:before="120" w:line="480" w:lineRule="auto"/>
        <w:jc w:val="both"/>
      </w:pPr>
      <w:proofErr w:type="gramStart"/>
      <w:r w:rsidRPr="00B8044A">
        <w:t>N(</w:t>
      </w:r>
      <w:proofErr w:type="gramEnd"/>
      <w:r>
        <w:t>•</w:t>
      </w:r>
      <w:r w:rsidRPr="00B8044A">
        <w:t xml:space="preserve">) is the (univariate) cumulative standard distribution function, </w:t>
      </w:r>
      <w:r w:rsidR="0010515D" w:rsidRPr="00F44633">
        <w:rPr>
          <w:noProof/>
          <w:position w:val="-10"/>
        </w:rPr>
        <w:object w:dxaOrig="980" w:dyaOrig="320" w14:anchorId="623D1702">
          <v:shape id="_x0000_i1051" type="#_x0000_t75" alt="" style="width:49.2pt;height:15.35pt;mso-width-percent:0;mso-height-percent:0;mso-width-percent:0;mso-height-percent:0" o:ole="">
            <v:imagedata r:id="rId61" o:title=""/>
          </v:shape>
          <o:OLEObject Type="Embed" ProgID="Equation.3" ShapeID="_x0000_i1051" DrawAspect="Content" ObjectID="_1712048728" r:id="rId62"/>
        </w:object>
      </w:r>
      <w:r w:rsidRPr="00B8044A">
        <w:t xml:space="preserve">is the bivariate cumulative normal distribution function with upper and lower integral limits </w:t>
      </w:r>
      <w:r w:rsidRPr="00B8044A">
        <w:rPr>
          <w:i/>
        </w:rPr>
        <w:t>a</w:t>
      </w:r>
      <w:r w:rsidRPr="00B8044A">
        <w:t xml:space="preserve"> and </w:t>
      </w:r>
      <w:r w:rsidRPr="00B8044A">
        <w:rPr>
          <w:i/>
        </w:rPr>
        <w:t xml:space="preserve">b, </w:t>
      </w:r>
      <w:r w:rsidRPr="00B8044A">
        <w:t xml:space="preserve">respectively. The correlation coefficient </w:t>
      </w:r>
      <w:r w:rsidRPr="00B8044A">
        <w:rPr>
          <w:i/>
        </w:rPr>
        <w:t xml:space="preserve">ρ </w:t>
      </w:r>
      <w:r w:rsidRPr="00B8044A">
        <w:t xml:space="preserve">(where </w:t>
      </w:r>
      <w:r w:rsidR="0010515D" w:rsidRPr="00F44633">
        <w:rPr>
          <w:noProof/>
          <w:position w:val="-10"/>
        </w:rPr>
        <w:object w:dxaOrig="1240" w:dyaOrig="380" w14:anchorId="248BECC2">
          <v:shape id="_x0000_i1052" type="#_x0000_t75" alt="" style="width:60.95pt;height:20.65pt;mso-width-percent:0;mso-height-percent:0;mso-width-percent:0;mso-height-percent:0" o:ole="">
            <v:imagedata r:id="rId63" o:title=""/>
          </v:shape>
          <o:OLEObject Type="Embed" ProgID="Equation.3" ShapeID="_x0000_i1052" DrawAspect="Content" ObjectID="_1712048729" r:id="rId64"/>
        </w:object>
      </w:r>
      <w:r w:rsidRPr="00B8044A">
        <w:t xml:space="preserve"> and </w:t>
      </w:r>
      <w:r w:rsidR="0010515D" w:rsidRPr="00F44633">
        <w:rPr>
          <w:noProof/>
          <w:position w:val="-10"/>
        </w:rPr>
        <w:object w:dxaOrig="320" w:dyaOrig="360" w14:anchorId="01257B33">
          <v:shape id="_x0000_i1053" type="#_x0000_t75" alt="" style="width:15.35pt;height:18.2pt;mso-width-percent:0;mso-height-percent:0;mso-width-percent:0;mso-height-percent:0" o:ole="">
            <v:imagedata r:id="rId65" o:title=""/>
          </v:shape>
          <o:OLEObject Type="Embed" ProgID="Equation.3" ShapeID="_x0000_i1053" DrawAspect="Content" ObjectID="_1712048730" r:id="rId66"/>
        </w:object>
      </w:r>
      <w:r w:rsidRPr="00B8044A">
        <w:t xml:space="preserve">is the critical value of </w:t>
      </w:r>
      <w:r w:rsidR="0010515D" w:rsidRPr="00F44633">
        <w:rPr>
          <w:noProof/>
          <w:position w:val="-10"/>
        </w:rPr>
        <w:object w:dxaOrig="960" w:dyaOrig="320" w14:anchorId="550823C3">
          <v:shape id="_x0000_i1054" type="#_x0000_t75" alt="" style="width:49.2pt;height:15.35pt;mso-width-percent:0;mso-height-percent:0;mso-width-percent:0;mso-height-percent:0" o:ole="">
            <v:imagedata r:id="rId67" o:title=""/>
          </v:shape>
          <o:OLEObject Type="Embed" ProgID="Equation.3" ShapeID="_x0000_i1054" DrawAspect="Content" ObjectID="_1712048731" r:id="rId68"/>
        </w:object>
      </w:r>
      <w:r w:rsidRPr="00B8044A">
        <w:t>above which the compound exchange option should be exercised. (</w:t>
      </w:r>
      <w:r w:rsidR="0010515D" w:rsidRPr="00F44633">
        <w:rPr>
          <w:noProof/>
          <w:position w:val="-10"/>
        </w:rPr>
        <w:object w:dxaOrig="320" w:dyaOrig="360" w14:anchorId="2AEB2576">
          <v:shape id="_x0000_i1055" type="#_x0000_t75" alt="" style="width:15.35pt;height:18.2pt;mso-width-percent:0;mso-height-percent:0;mso-width-percent:0;mso-height-percent:0" o:ole="">
            <v:imagedata r:id="rId65" o:title=""/>
          </v:shape>
          <o:OLEObject Type="Embed" ProgID="Equation.3" ShapeID="_x0000_i1055" DrawAspect="Content" ObjectID="_1712048732" r:id="rId69"/>
        </w:object>
      </w:r>
      <w:r w:rsidRPr="00B8044A">
        <w:t xml:space="preserve">can be obtained by solving the indifference condition </w:t>
      </w:r>
      <w:r w:rsidRPr="00B8044A">
        <w:rPr>
          <w:i/>
        </w:rPr>
        <w:t>S</w:t>
      </w:r>
      <w:r w:rsidRPr="00B8044A">
        <w:t>(</w:t>
      </w:r>
      <w:r w:rsidR="0010515D" w:rsidRPr="00F44633">
        <w:rPr>
          <w:noProof/>
          <w:position w:val="-10"/>
        </w:rPr>
        <w:object w:dxaOrig="320" w:dyaOrig="360" w14:anchorId="7CA1EC97">
          <v:shape id="_x0000_i1056" type="#_x0000_t75" alt="" style="width:15.35pt;height:18.2pt;mso-width-percent:0;mso-height-percent:0;mso-width-percent:0;mso-height-percent:0" o:ole="">
            <v:imagedata r:id="rId65" o:title=""/>
          </v:shape>
          <o:OLEObject Type="Embed" ProgID="Equation.3" ShapeID="_x0000_i1056" DrawAspect="Content" ObjectID="_1712048733" r:id="rId70"/>
        </w:object>
      </w:r>
      <w:r w:rsidRPr="00B8044A">
        <w:t xml:space="preserve">) = </w:t>
      </w:r>
      <w:proofErr w:type="spellStart"/>
      <w:r w:rsidRPr="00B8044A">
        <w:rPr>
          <w:i/>
        </w:rPr>
        <w:t>qI</w:t>
      </w:r>
      <w:proofErr w:type="spellEnd"/>
      <w:r w:rsidRPr="00B8044A">
        <w:t>, or after dividing (</w:t>
      </w:r>
      <w:r>
        <w:t>Eq. 1</w:t>
      </w:r>
      <w:r w:rsidR="00545203">
        <w:t>0</w:t>
      </w:r>
      <w:r w:rsidRPr="00B8044A">
        <w:t xml:space="preserve">) by </w:t>
      </w:r>
      <w:r w:rsidRPr="00B8044A">
        <w:rPr>
          <w:i/>
        </w:rPr>
        <w:t>I,</w:t>
      </w:r>
      <w:r w:rsidRPr="00B8044A">
        <w:t xml:space="preserve"> from </w:t>
      </w:r>
      <w:r w:rsidR="0010515D" w:rsidRPr="00F44633">
        <w:rPr>
          <w:noProof/>
          <w:position w:val="-10"/>
        </w:rPr>
        <w:object w:dxaOrig="3220" w:dyaOrig="360" w14:anchorId="7DB85095">
          <v:shape id="_x0000_i1057" type="#_x0000_t75" alt="" style="width:162.2pt;height:18.2pt;mso-width-percent:0;mso-height-percent:0;mso-width-percent:0;mso-height-percent:0" o:ole="">
            <v:imagedata r:id="rId71" o:title=""/>
          </v:shape>
          <o:OLEObject Type="Embed" ProgID="Equation.3" ShapeID="_x0000_i1057" DrawAspect="Content" ObjectID="_1712048734" r:id="rId72"/>
        </w:object>
      </w:r>
      <w:r w:rsidRPr="00B8044A">
        <w:t xml:space="preserve">  </w:t>
      </w:r>
      <w:r w:rsidR="00C03FEB">
        <w:t>W</w:t>
      </w:r>
      <w:r w:rsidRPr="00B8044A">
        <w:t xml:space="preserve">here </w:t>
      </w:r>
      <w:r w:rsidRPr="00B8044A">
        <w:rPr>
          <w:i/>
        </w:rPr>
        <w:t>V</w:t>
      </w:r>
      <w:r w:rsidRPr="00B8044A">
        <w:rPr>
          <w:iCs/>
          <w:vertAlign w:val="subscript"/>
        </w:rPr>
        <w:t>T</w:t>
      </w:r>
      <w:r w:rsidRPr="00B8044A">
        <w:t xml:space="preserve"> = present value of the cash inflows in year 2, </w:t>
      </w:r>
      <w:r w:rsidRPr="00B8044A">
        <w:rPr>
          <w:i/>
          <w:iCs/>
        </w:rPr>
        <w:t>I</w:t>
      </w:r>
      <w:r w:rsidRPr="00B8044A">
        <w:t xml:space="preserve"> = </w:t>
      </w:r>
      <w:r w:rsidRPr="00B8044A">
        <w:lastRenderedPageBreak/>
        <w:t xml:space="preserve">investment outlay in year 2, </w:t>
      </w:r>
      <w:r w:rsidR="0010515D" w:rsidRPr="00F44633">
        <w:rPr>
          <w:noProof/>
          <w:position w:val="-6"/>
        </w:rPr>
        <w:object w:dxaOrig="200" w:dyaOrig="200" w14:anchorId="366329CB">
          <v:shape id="_x0000_i1058" type="#_x0000_t75" alt="" style="width:12.85pt;height:12.85pt;mso-width-percent:0;mso-height-percent:0;mso-width-percent:0;mso-height-percent:0" o:ole="">
            <v:imagedata r:id="rId19" o:title=""/>
          </v:shape>
          <o:OLEObject Type="Embed" ProgID="Equation.3" ShapeID="_x0000_i1058" DrawAspect="Content" ObjectID="_1712048735" r:id="rId73"/>
        </w:object>
      </w:r>
      <w:r w:rsidRPr="00B8044A">
        <w:t xml:space="preserve">= volatility of the rate of change of the cash inflows, </w:t>
      </w:r>
      <w:r w:rsidRPr="00B8044A">
        <w:rPr>
          <w:i/>
        </w:rPr>
        <w:t xml:space="preserve">r </w:t>
      </w:r>
      <w:r w:rsidRPr="00B8044A">
        <w:t>= riskless rate of intere</w:t>
      </w:r>
      <w:r>
        <w:t>st</w:t>
      </w:r>
      <w:r w:rsidRPr="00B8044A">
        <w:t>s</w:t>
      </w:r>
      <w:r>
        <w:t xml:space="preserve">. </w:t>
      </w:r>
      <w:r w:rsidR="0068199F">
        <w:t>The above leads to the third Hypothesis</w:t>
      </w:r>
    </w:p>
    <w:p w14:paraId="19AFE2EA" w14:textId="14586FE8" w:rsidR="0068199F" w:rsidRPr="003D7A29" w:rsidRDefault="0068199F" w:rsidP="0068199F">
      <w:pPr>
        <w:autoSpaceDE w:val="0"/>
        <w:autoSpaceDN w:val="0"/>
        <w:adjustRightInd w:val="0"/>
        <w:spacing w:before="120" w:line="480" w:lineRule="auto"/>
        <w:ind w:left="284"/>
        <w:jc w:val="both"/>
        <w:rPr>
          <w:i/>
          <w:iCs/>
        </w:rPr>
      </w:pPr>
      <w:r w:rsidRPr="003D7A29">
        <w:rPr>
          <w:i/>
          <w:iCs/>
        </w:rPr>
        <w:t>H</w:t>
      </w:r>
      <w:r>
        <w:rPr>
          <w:i/>
          <w:iCs/>
        </w:rPr>
        <w:t>3a</w:t>
      </w:r>
      <w:r w:rsidRPr="003D7A29">
        <w:rPr>
          <w:i/>
          <w:iCs/>
        </w:rPr>
        <w:t xml:space="preserve">: </w:t>
      </w:r>
      <w:r>
        <w:rPr>
          <w:i/>
          <w:iCs/>
        </w:rPr>
        <w:t xml:space="preserve">With respect to government sector </w:t>
      </w:r>
      <w:r w:rsidR="00C001AC">
        <w:rPr>
          <w:i/>
          <w:iCs/>
        </w:rPr>
        <w:t>‘</w:t>
      </w:r>
      <w:r>
        <w:rPr>
          <w:i/>
          <w:iCs/>
        </w:rPr>
        <w:t>deferral</w:t>
      </w:r>
      <w:r w:rsidR="00C001AC">
        <w:rPr>
          <w:i/>
          <w:iCs/>
        </w:rPr>
        <w:t>’</w:t>
      </w:r>
      <w:r>
        <w:rPr>
          <w:i/>
          <w:iCs/>
        </w:rPr>
        <w:t xml:space="preserve"> </w:t>
      </w:r>
      <w:r w:rsidR="00C001AC">
        <w:rPr>
          <w:i/>
          <w:iCs/>
        </w:rPr>
        <w:t xml:space="preserve">and ‘expand’ </w:t>
      </w:r>
      <w:r>
        <w:rPr>
          <w:i/>
          <w:iCs/>
        </w:rPr>
        <w:t>option</w:t>
      </w:r>
      <w:r w:rsidR="00AE3E28">
        <w:rPr>
          <w:i/>
          <w:iCs/>
        </w:rPr>
        <w:t>s</w:t>
      </w:r>
      <w:r>
        <w:rPr>
          <w:i/>
          <w:iCs/>
        </w:rPr>
        <w:t>,</w:t>
      </w:r>
      <w:r w:rsidR="009579AA">
        <w:rPr>
          <w:i/>
          <w:iCs/>
        </w:rPr>
        <w:t xml:space="preserve"> the </w:t>
      </w:r>
      <w:r>
        <w:rPr>
          <w:i/>
          <w:iCs/>
        </w:rPr>
        <w:t>corporate sector</w:t>
      </w:r>
      <w:r w:rsidR="009579AA">
        <w:rPr>
          <w:i/>
          <w:iCs/>
        </w:rPr>
        <w:t>,</w:t>
      </w:r>
      <w:r>
        <w:rPr>
          <w:i/>
          <w:iCs/>
        </w:rPr>
        <w:t xml:space="preserve"> </w:t>
      </w:r>
      <w:r w:rsidRPr="003D7A29">
        <w:rPr>
          <w:i/>
          <w:iCs/>
        </w:rPr>
        <w:t xml:space="preserve">Project </w:t>
      </w:r>
      <w:r w:rsidR="00170EB2">
        <w:rPr>
          <w:i/>
          <w:iCs/>
        </w:rPr>
        <w:t>C</w:t>
      </w:r>
      <w:r w:rsidR="009579AA">
        <w:rPr>
          <w:i/>
          <w:iCs/>
        </w:rPr>
        <w:t>,</w:t>
      </w:r>
      <w:r w:rsidR="00170EB2">
        <w:rPr>
          <w:i/>
          <w:iCs/>
        </w:rPr>
        <w:t xml:space="preserve"> by switching operation patte</w:t>
      </w:r>
      <w:r w:rsidR="00C001AC">
        <w:rPr>
          <w:i/>
          <w:iCs/>
        </w:rPr>
        <w:t>ns</w:t>
      </w:r>
      <w:r w:rsidRPr="003D7A29">
        <w:rPr>
          <w:i/>
          <w:iCs/>
        </w:rPr>
        <w:t xml:space="preserve"> will drive</w:t>
      </w:r>
      <w:r w:rsidR="00170EB2">
        <w:rPr>
          <w:i/>
          <w:iCs/>
        </w:rPr>
        <w:t xml:space="preserve"> alternative investmen</w:t>
      </w:r>
      <w:r w:rsidR="009579AA">
        <w:rPr>
          <w:i/>
          <w:iCs/>
        </w:rPr>
        <w:t>t</w:t>
      </w:r>
      <w:r w:rsidR="00C001AC">
        <w:rPr>
          <w:i/>
          <w:iCs/>
        </w:rPr>
        <w:t>,</w:t>
      </w:r>
      <w:r w:rsidR="00170EB2">
        <w:rPr>
          <w:i/>
          <w:iCs/>
        </w:rPr>
        <w:t xml:space="preserve"> from which growth will emerge.  </w:t>
      </w:r>
      <w:r w:rsidRPr="003D7A29">
        <w:rPr>
          <w:i/>
          <w:iCs/>
        </w:rPr>
        <w:t xml:space="preserve"> </w:t>
      </w:r>
    </w:p>
    <w:p w14:paraId="2BE2BBEF" w14:textId="2467D682" w:rsidR="003D52B5" w:rsidRDefault="003D52B5" w:rsidP="00AE6602">
      <w:pPr>
        <w:spacing w:before="120" w:line="480" w:lineRule="auto"/>
        <w:jc w:val="both"/>
      </w:pPr>
      <w:r w:rsidRPr="00AE6602">
        <w:rPr>
          <w:i/>
          <w:iCs/>
        </w:rPr>
        <w:t>Pro</w:t>
      </w:r>
      <w:r w:rsidR="00CC0B20">
        <w:rPr>
          <w:i/>
          <w:iCs/>
        </w:rPr>
        <w:t>o</w:t>
      </w:r>
      <w:r w:rsidRPr="00AE6602">
        <w:rPr>
          <w:i/>
          <w:iCs/>
        </w:rPr>
        <w:t>f 3a</w:t>
      </w:r>
      <w:r>
        <w:t xml:space="preserve">: The time-to-build (Figure 2) options suggest that deferral and </w:t>
      </w:r>
      <w:r w:rsidR="00297459">
        <w:t>swit</w:t>
      </w:r>
      <w:r w:rsidR="00A773C2">
        <w:t>c</w:t>
      </w:r>
      <w:r w:rsidR="00297459">
        <w:t>h</w:t>
      </w:r>
      <w:r>
        <w:t xml:space="preserve"> are</w:t>
      </w:r>
      <w:r w:rsidRPr="00B8044A">
        <w:t xml:space="preserve"> an inseparable package with </w:t>
      </w:r>
      <w:r>
        <w:t xml:space="preserve">a set of </w:t>
      </w:r>
      <w:r w:rsidRPr="00B8044A">
        <w:t>underlying asset</w:t>
      </w:r>
      <w:r>
        <w:t xml:space="preserve">s </w:t>
      </w:r>
      <w:r w:rsidRPr="00B8044A">
        <w:t>embedded in the same asset</w:t>
      </w:r>
      <w:r>
        <w:t>.</w:t>
      </w:r>
      <w:r w:rsidRPr="00B8044A">
        <w:t xml:space="preserve"> </w:t>
      </w:r>
      <w:r w:rsidR="00CC0B20" w:rsidRPr="0057365D">
        <w:t>Many real options are sequential or compound – exercising uncovers not an underlying asset but another option</w:t>
      </w:r>
      <w:r w:rsidR="00297459">
        <w:t>, thus, experiencing expected growth opportunities</w:t>
      </w:r>
      <w:r w:rsidR="00CC0B20">
        <w:t>.</w:t>
      </w:r>
      <w:r w:rsidR="00CC0B20" w:rsidRPr="0064381D">
        <w:t xml:space="preserve"> </w:t>
      </w:r>
      <w:r w:rsidR="00000C22">
        <w:t>T</w:t>
      </w:r>
      <w:r w:rsidR="00CC0B20" w:rsidRPr="0057365D">
        <w:t>he option gives the holder the right to exercise through to the exercise date</w:t>
      </w:r>
      <w:r w:rsidR="00000C22">
        <w:t xml:space="preserve"> will be </w:t>
      </w:r>
      <w:r w:rsidR="00CC0B20">
        <w:t>more realisti</w:t>
      </w:r>
      <w:r w:rsidR="000036AE">
        <w:t>c</w:t>
      </w:r>
      <w:r w:rsidR="00CC0B20">
        <w:t xml:space="preserve">. </w:t>
      </w:r>
    </w:p>
    <w:p w14:paraId="38137114" w14:textId="6D8A50E4" w:rsidR="009C0DE4" w:rsidRDefault="001D3D72" w:rsidP="009D468A">
      <w:pPr>
        <w:spacing w:before="120" w:line="480" w:lineRule="auto"/>
        <w:ind w:firstLine="284"/>
        <w:jc w:val="both"/>
      </w:pPr>
      <w:r w:rsidRPr="007644FF">
        <w:rPr>
          <w:bCs/>
          <w:iCs/>
        </w:rPr>
        <w:t>However, in</w:t>
      </w:r>
      <w:r>
        <w:rPr>
          <w:b/>
          <w:iCs/>
        </w:rPr>
        <w:t xml:space="preserve"> </w:t>
      </w:r>
      <w:r>
        <w:t>f</w:t>
      </w:r>
      <w:r w:rsidR="00870BF2">
        <w:t xml:space="preserve">ollowing from the above projects (A, B, and C), </w:t>
      </w:r>
      <w:r w:rsidR="00EF3F4E">
        <w:t xml:space="preserve">now </w:t>
      </w:r>
      <w:r w:rsidR="00870BF2">
        <w:t xml:space="preserve">we </w:t>
      </w:r>
      <w:r>
        <w:t>have on</w:t>
      </w:r>
      <w:r w:rsidR="005B1101">
        <w:t>u</w:t>
      </w:r>
      <w:r w:rsidR="00AA689C">
        <w:t>s</w:t>
      </w:r>
      <w:r>
        <w:t xml:space="preserve"> to </w:t>
      </w:r>
      <w:r w:rsidR="00870BF2">
        <w:t>explain the ROA alternative</w:t>
      </w:r>
      <w:r w:rsidR="00AE3E28">
        <w:t>, too</w:t>
      </w:r>
      <w:r>
        <w:t xml:space="preserve">: </w:t>
      </w:r>
      <w:r w:rsidR="00870BF2">
        <w:t>positive and negative underlying asset values</w:t>
      </w:r>
      <w:r w:rsidR="00EF3F4E">
        <w:t>.</w:t>
      </w:r>
      <w:r w:rsidR="00870BF2">
        <w:t xml:space="preserve"> </w:t>
      </w:r>
      <w:r w:rsidR="00EF3F4E">
        <w:t>In b</w:t>
      </w:r>
      <w:r w:rsidR="00D331F4">
        <w:t>ring</w:t>
      </w:r>
      <w:r w:rsidR="00870BF2">
        <w:t>ing</w:t>
      </w:r>
      <w:r w:rsidR="00D331F4">
        <w:t xml:space="preserve"> options </w:t>
      </w:r>
      <w:r w:rsidR="00084832">
        <w:t xml:space="preserve">for </w:t>
      </w:r>
      <w:r w:rsidR="00D15738">
        <w:t xml:space="preserve">variant </w:t>
      </w:r>
      <w:r w:rsidR="00084832">
        <w:t>business</w:t>
      </w:r>
      <w:r w:rsidR="00855F71">
        <w:t xml:space="preserve"> sectors,</w:t>
      </w:r>
      <w:r w:rsidR="00084832">
        <w:t xml:space="preserve"> </w:t>
      </w:r>
      <w:r w:rsidR="00EF3F4E">
        <w:t>we evaluate some consequences in businesses</w:t>
      </w:r>
      <w:r w:rsidR="00D331F4">
        <w:t xml:space="preserve"> </w:t>
      </w:r>
      <w:r w:rsidR="00EF3F4E">
        <w:t xml:space="preserve">that </w:t>
      </w:r>
      <w:r w:rsidR="00453809">
        <w:t>must</w:t>
      </w:r>
      <w:r w:rsidR="00EF3F4E">
        <w:t xml:space="preserve"> </w:t>
      </w:r>
      <w:r w:rsidR="00BF0DE9">
        <w:t>terminate</w:t>
      </w:r>
      <w:r w:rsidR="00D331F4">
        <w:t xml:space="preserve"> or to </w:t>
      </w:r>
      <w:r w:rsidR="00346661">
        <w:t>abandon</w:t>
      </w:r>
      <w:r w:rsidR="00D331F4">
        <w:t xml:space="preserve"> some </w:t>
      </w:r>
      <w:r w:rsidR="009409BC">
        <w:t xml:space="preserve">of their </w:t>
      </w:r>
      <w:r w:rsidR="00D331F4">
        <w:t xml:space="preserve">investment </w:t>
      </w:r>
      <w:r w:rsidR="00BF0DE9">
        <w:t>projects</w:t>
      </w:r>
      <w:r w:rsidR="00D331F4">
        <w:t>.</w:t>
      </w:r>
      <w:r w:rsidR="00031698">
        <w:t xml:space="preserve"> </w:t>
      </w:r>
      <w:r w:rsidR="00FC0BB7">
        <w:t>For example, t</w:t>
      </w:r>
      <w:r w:rsidR="005E0132">
        <w:t xml:space="preserve">he </w:t>
      </w:r>
      <w:r w:rsidR="0098787D">
        <w:t xml:space="preserve">government initial single option, ‘local lockdowns’ halt the temporary spread of the virus (WHO, 2020; Gov.UK, 2020). Air travel </w:t>
      </w:r>
      <w:r w:rsidR="00E90BDE">
        <w:t>was</w:t>
      </w:r>
      <w:r w:rsidR="0098787D">
        <w:t xml:space="preserve"> temporally halted. </w:t>
      </w:r>
      <w:r w:rsidR="00D15738">
        <w:t xml:space="preserve">Abandonments sometimes were perceived as allocating funds elsewhere to address more pressing needs. </w:t>
      </w:r>
      <w:r w:rsidR="00453809">
        <w:t>T</w:t>
      </w:r>
      <w:r w:rsidR="00D15738">
        <w:t xml:space="preserve">he COVID -19 pandemic caused unprecedented events and </w:t>
      </w:r>
      <w:r w:rsidR="00C448FC">
        <w:t xml:space="preserve">the </w:t>
      </w:r>
      <w:r w:rsidR="00D15738">
        <w:t xml:space="preserve">crisis of some businesses. </w:t>
      </w:r>
    </w:p>
    <w:p w14:paraId="6D8FEA92" w14:textId="68C8EC48" w:rsidR="000D05F2" w:rsidRPr="00B8044A" w:rsidRDefault="00ED1016" w:rsidP="009D468A">
      <w:pPr>
        <w:spacing w:before="120" w:line="480" w:lineRule="auto"/>
        <w:ind w:firstLine="284"/>
        <w:jc w:val="both"/>
      </w:pPr>
      <w:r>
        <w:t xml:space="preserve">For </w:t>
      </w:r>
      <w:r w:rsidR="00A249DB">
        <w:t>terminology in the correlation project</w:t>
      </w:r>
      <w:r>
        <w:t xml:space="preserve">, we </w:t>
      </w:r>
      <w:r w:rsidR="00A249DB">
        <w:t xml:space="preserve">note </w:t>
      </w:r>
      <w:r w:rsidR="00453809">
        <w:t xml:space="preserve">defer </w:t>
      </w:r>
      <w:r>
        <w:t xml:space="preserve">as </w:t>
      </w:r>
      <w:r w:rsidR="00A249DB">
        <w:t>‘</w:t>
      </w:r>
      <w:r w:rsidR="00D331F4">
        <w:t>D</w:t>
      </w:r>
      <w:r w:rsidR="00A249DB">
        <w:t>’</w:t>
      </w:r>
      <w:r w:rsidR="00D331F4">
        <w:t xml:space="preserve">, and </w:t>
      </w:r>
      <w:r w:rsidR="00453809">
        <w:t xml:space="preserve">abandon </w:t>
      </w:r>
      <w:r>
        <w:t xml:space="preserve">as </w:t>
      </w:r>
      <w:r w:rsidR="00A249DB">
        <w:t>‘</w:t>
      </w:r>
      <w:r w:rsidR="00D331F4">
        <w:t>E</w:t>
      </w:r>
      <w:r w:rsidR="00A249DB">
        <w:t>’</w:t>
      </w:r>
      <w:r w:rsidR="00D331F4">
        <w:t>,</w:t>
      </w:r>
      <w:r w:rsidR="000D05F2">
        <w:t xml:space="preserve"> </w:t>
      </w:r>
      <w:r>
        <w:t xml:space="preserve">which are </w:t>
      </w:r>
      <w:r w:rsidR="000D05F2" w:rsidRPr="00B8044A">
        <w:t xml:space="preserve">correlated </w:t>
      </w:r>
      <w:r>
        <w:t xml:space="preserve">and hence </w:t>
      </w:r>
      <w:r w:rsidR="000D05F2" w:rsidRPr="00B8044A">
        <w:t xml:space="preserve">simulated project values for each asset are derived as follows: </w:t>
      </w:r>
    </w:p>
    <w:p w14:paraId="6686456E" w14:textId="10D3014F" w:rsidR="00AB41B0" w:rsidRPr="00B8044A" w:rsidRDefault="0010515D" w:rsidP="009D468A">
      <w:pPr>
        <w:spacing w:before="120" w:line="480" w:lineRule="auto"/>
        <w:jc w:val="both"/>
      </w:pPr>
      <w:r w:rsidRPr="00F44633">
        <w:rPr>
          <w:noProof/>
          <w:position w:val="-24"/>
        </w:rPr>
        <w:object w:dxaOrig="1620" w:dyaOrig="540" w14:anchorId="04BE6289">
          <v:shape id="_x0000_i1059" type="#_x0000_t75" alt="" style="width:100.15pt;height:31.35pt;mso-width-percent:0;mso-height-percent:0;mso-width-percent:0;mso-height-percent:0" o:ole="">
            <v:imagedata r:id="rId74" o:title=""/>
          </v:shape>
          <o:OLEObject Type="Embed" ProgID="Equation.3" ShapeID="_x0000_i1059" DrawAspect="Content" ObjectID="_1712048736" r:id="rId75"/>
        </w:object>
      </w:r>
      <w:r w:rsidR="000D05F2" w:rsidRPr="00B8044A">
        <w:t xml:space="preserve"> </w:t>
      </w:r>
      <w:r w:rsidR="00AB41B0">
        <w:rPr>
          <w:noProof/>
        </w:rPr>
        <w:t>……………………...... (20)</w:t>
      </w:r>
    </w:p>
    <w:p w14:paraId="4526CBB7" w14:textId="09E5F03F" w:rsidR="000D05F2" w:rsidRDefault="00AB41B0" w:rsidP="009D468A">
      <w:pPr>
        <w:spacing w:before="120" w:line="480" w:lineRule="auto"/>
        <w:jc w:val="both"/>
      </w:pPr>
      <w:r w:rsidRPr="00B8044A">
        <w:t>and</w:t>
      </w:r>
    </w:p>
    <w:p w14:paraId="7C61FBE0" w14:textId="00A3FC85" w:rsidR="000D05F2" w:rsidRPr="00B8044A" w:rsidRDefault="0010515D" w:rsidP="009D468A">
      <w:pPr>
        <w:spacing w:before="120" w:line="480" w:lineRule="auto"/>
        <w:jc w:val="both"/>
      </w:pPr>
      <w:r w:rsidRPr="00F44633">
        <w:rPr>
          <w:noProof/>
          <w:position w:val="-20"/>
        </w:rPr>
        <w:object w:dxaOrig="1579" w:dyaOrig="499" w14:anchorId="16A64C8C">
          <v:shape id="_x0000_i1060" type="#_x0000_t75" alt="" style="width:94.8pt;height:29.95pt;mso-width-percent:0;mso-height-percent:0;mso-width-percent:0;mso-height-percent:0" o:ole="">
            <v:imagedata r:id="rId76" o:title=""/>
          </v:shape>
          <o:OLEObject Type="Embed" ProgID="Equation.3" ShapeID="_x0000_i1060" DrawAspect="Content" ObjectID="_1712048737" r:id="rId77"/>
        </w:object>
      </w:r>
      <w:r w:rsidR="000D05F2">
        <w:rPr>
          <w:noProof/>
        </w:rPr>
        <w:t>……………………......</w:t>
      </w:r>
      <w:r w:rsidR="00D127A7">
        <w:rPr>
          <w:noProof/>
        </w:rPr>
        <w:t>...</w:t>
      </w:r>
      <w:r w:rsidR="000D05F2">
        <w:rPr>
          <w:noProof/>
        </w:rPr>
        <w:t xml:space="preserve"> (</w:t>
      </w:r>
      <w:r w:rsidR="00D331F4">
        <w:rPr>
          <w:noProof/>
        </w:rPr>
        <w:t>21</w:t>
      </w:r>
      <w:r w:rsidR="000D05F2">
        <w:rPr>
          <w:noProof/>
        </w:rPr>
        <w:t>)</w:t>
      </w:r>
    </w:p>
    <w:p w14:paraId="779EB10D" w14:textId="3E9CEEA7" w:rsidR="00B8044A" w:rsidRPr="00B8044A" w:rsidRDefault="000D05F2" w:rsidP="00AE6602">
      <w:pPr>
        <w:spacing w:before="120" w:line="480" w:lineRule="auto"/>
        <w:ind w:firstLine="284"/>
        <w:jc w:val="both"/>
      </w:pPr>
      <w:r w:rsidRPr="00B8044A">
        <w:lastRenderedPageBreak/>
        <w:t xml:space="preserve">Here the two Brownian motions are correlated </w:t>
      </w:r>
      <w:r w:rsidR="00031698">
        <w:t xml:space="preserve">and </w:t>
      </w:r>
      <w:r w:rsidRPr="00B8044A">
        <w:t>thus influence the movements for both assets.</w:t>
      </w:r>
      <w:r w:rsidR="00292AFE">
        <w:t xml:space="preserve"> </w:t>
      </w:r>
      <w:r w:rsidR="00B8044A" w:rsidRPr="00B8044A">
        <w:t xml:space="preserve">To find the value of the sequential exchange </w:t>
      </w:r>
      <w:r w:rsidR="007B5B8D">
        <w:t>(</w:t>
      </w:r>
      <w:r w:rsidR="00B8044A" w:rsidRPr="00B8044A">
        <w:t xml:space="preserve">or compound </w:t>
      </w:r>
      <w:r w:rsidR="007B5B8D">
        <w:t xml:space="preserve">switch and abandon) </w:t>
      </w:r>
      <w:r w:rsidR="00B8044A" w:rsidRPr="00B8044A">
        <w:t>option</w:t>
      </w:r>
      <w:r w:rsidR="00F05372">
        <w:t>,</w:t>
      </w:r>
      <w:r w:rsidR="00B8044A" w:rsidRPr="00B8044A">
        <w:t xml:space="preserve"> </w:t>
      </w:r>
      <w:r w:rsidR="00E3749B">
        <w:rPr>
          <w:noProof/>
        </w:rPr>
        <w:t xml:space="preserve">we </w:t>
      </w:r>
      <w:r w:rsidR="00391583">
        <w:rPr>
          <w:noProof/>
        </w:rPr>
        <w:t xml:space="preserve">can also </w:t>
      </w:r>
      <w:r w:rsidR="00E3749B">
        <w:rPr>
          <w:noProof/>
        </w:rPr>
        <w:t xml:space="preserve">consider </w:t>
      </w:r>
      <w:proofErr w:type="spellStart"/>
      <w:r w:rsidR="00B8044A" w:rsidRPr="00B8044A">
        <w:t>Carr</w:t>
      </w:r>
      <w:r w:rsidR="00E3749B">
        <w:t>’s</w:t>
      </w:r>
      <w:proofErr w:type="spellEnd"/>
      <w:r w:rsidR="00B8044A" w:rsidRPr="00B8044A">
        <w:t xml:space="preserve"> </w:t>
      </w:r>
      <w:r w:rsidR="00E3749B">
        <w:t>(</w:t>
      </w:r>
      <w:r w:rsidR="00B8044A" w:rsidRPr="00B8044A">
        <w:t>1988</w:t>
      </w:r>
      <w:r w:rsidR="00E3749B">
        <w:t xml:space="preserve">) </w:t>
      </w:r>
      <w:r w:rsidR="00B8044A" w:rsidRPr="00B8044A">
        <w:t>continuous time literature</w:t>
      </w:r>
      <w:r w:rsidR="00E3749B">
        <w:t xml:space="preserve"> on return (increasement, </w:t>
      </w:r>
      <w:r w:rsidR="00E3749B" w:rsidRPr="00E3749B">
        <w:rPr>
          <w:i/>
          <w:iCs/>
        </w:rPr>
        <w:t>W</w:t>
      </w:r>
      <w:r w:rsidR="00E3749B">
        <w:t>),</w:t>
      </w:r>
      <w:r w:rsidR="005D3DBE" w:rsidRPr="005D3DBE">
        <w:rPr>
          <w:noProof/>
        </w:rPr>
        <w:t xml:space="preserve"> </w:t>
      </w:r>
      <w:r w:rsidR="0010515D" w:rsidRPr="00F44633">
        <w:rPr>
          <w:noProof/>
          <w:position w:val="-10"/>
        </w:rPr>
        <w:object w:dxaOrig="1540" w:dyaOrig="279" w14:anchorId="1FBE1A67">
          <v:shape id="_x0000_i1061" type="#_x0000_t75" alt="" style="width:94.45pt;height:18.2pt;mso-width-percent:0;mso-height-percent:0;mso-width-percent:0;mso-height-percent:0" o:ole="">
            <v:imagedata r:id="rId78" o:title=""/>
          </v:shape>
          <o:OLEObject Type="Embed" ProgID="Equation.3" ShapeID="_x0000_i1061" DrawAspect="Content" ObjectID="_1712048738" r:id="rId79"/>
        </w:object>
      </w:r>
      <w:r w:rsidR="002B3B7A">
        <w:rPr>
          <w:noProof/>
        </w:rPr>
        <w:t>,</w:t>
      </w:r>
      <w:r w:rsidR="0080149A">
        <w:t xml:space="preserve"> </w:t>
      </w:r>
      <w:r w:rsidR="002B3B7A">
        <w:t>using</w:t>
      </w:r>
      <w:r w:rsidR="00B8044A" w:rsidRPr="00B8044A">
        <w:t xml:space="preserve"> stochastic differential:</w:t>
      </w:r>
    </w:p>
    <w:p w14:paraId="1DFB2D7F" w14:textId="40D29F4B" w:rsidR="00B8044A" w:rsidRPr="00B8044A" w:rsidRDefault="0010515D" w:rsidP="009D468A">
      <w:pPr>
        <w:spacing w:before="120" w:line="480" w:lineRule="auto"/>
        <w:jc w:val="both"/>
      </w:pPr>
      <w:r w:rsidRPr="00F44633">
        <w:rPr>
          <w:noProof/>
          <w:position w:val="-12"/>
        </w:rPr>
        <w:object w:dxaOrig="3460" w:dyaOrig="360" w14:anchorId="130F0F00">
          <v:shape id="_x0000_i1062" type="#_x0000_t75" alt="" style="width:214.55pt;height:22.8pt;mso-width-percent:0;mso-height-percent:0;mso-width-percent:0;mso-height-percent:0" o:ole="">
            <v:imagedata r:id="rId80" o:title=""/>
          </v:shape>
          <o:OLEObject Type="Embed" ProgID="Equation.3" ShapeID="_x0000_i1062" DrawAspect="Content" ObjectID="_1712048739" r:id="rId81"/>
        </w:object>
      </w:r>
      <w:r w:rsidR="00D05F6A">
        <w:rPr>
          <w:noProof/>
        </w:rPr>
        <w:t>………………… (</w:t>
      </w:r>
      <w:r w:rsidR="00F7725D">
        <w:rPr>
          <w:noProof/>
        </w:rPr>
        <w:t>22</w:t>
      </w:r>
      <w:r w:rsidR="00D05F6A">
        <w:rPr>
          <w:noProof/>
        </w:rPr>
        <w:t>)</w:t>
      </w:r>
    </w:p>
    <w:p w14:paraId="480D18A9" w14:textId="6B35C8ED" w:rsidR="00B8044A" w:rsidRPr="00B8044A" w:rsidRDefault="0010515D" w:rsidP="009D468A">
      <w:pPr>
        <w:spacing w:before="120" w:line="480" w:lineRule="auto"/>
        <w:jc w:val="both"/>
      </w:pPr>
      <w:r w:rsidRPr="00F44633">
        <w:rPr>
          <w:noProof/>
          <w:position w:val="-12"/>
        </w:rPr>
        <w:object w:dxaOrig="2180" w:dyaOrig="360" w14:anchorId="4A10AF2B">
          <v:shape id="_x0000_i1063" type="#_x0000_t75" alt="" style="width:138.65pt;height:22.8pt;mso-width-percent:0;mso-height-percent:0;mso-width-percent:0;mso-height-percent:0" o:ole="">
            <v:imagedata r:id="rId82" o:title=""/>
          </v:shape>
          <o:OLEObject Type="Embed" ProgID="Equation.3" ShapeID="_x0000_i1063" DrawAspect="Content" ObjectID="_1712048740" r:id="rId83"/>
        </w:object>
      </w:r>
      <w:r w:rsidR="00D05F6A">
        <w:rPr>
          <w:noProof/>
        </w:rPr>
        <w:t xml:space="preserve">  ……………………... (</w:t>
      </w:r>
      <w:r w:rsidR="00F7725D">
        <w:rPr>
          <w:noProof/>
        </w:rPr>
        <w:t>23</w:t>
      </w:r>
      <w:r w:rsidR="00D05F6A">
        <w:rPr>
          <w:noProof/>
        </w:rPr>
        <w:t>)</w:t>
      </w:r>
    </w:p>
    <w:p w14:paraId="3977D5B9" w14:textId="096A0D49" w:rsidR="00B8044A" w:rsidRPr="00B8044A" w:rsidRDefault="0010515D" w:rsidP="009D468A">
      <w:pPr>
        <w:spacing w:before="120" w:line="480" w:lineRule="auto"/>
        <w:jc w:val="both"/>
      </w:pPr>
      <w:r w:rsidRPr="00F44633">
        <w:rPr>
          <w:noProof/>
          <w:position w:val="-28"/>
        </w:rPr>
        <w:object w:dxaOrig="2400" w:dyaOrig="960" w14:anchorId="3E28486C">
          <v:shape id="_x0000_i1064" type="#_x0000_t75" alt="" style="width:129.75pt;height:49.2pt;mso-width-percent:0;mso-height-percent:0;mso-width-percent:0;mso-height-percent:0" o:ole="">
            <v:imagedata r:id="rId84" o:title=""/>
          </v:shape>
          <o:OLEObject Type="Embed" ProgID="Equation.3" ShapeID="_x0000_i1064" DrawAspect="Content" ObjectID="_1712048741" r:id="rId85"/>
        </w:object>
      </w:r>
      <w:r w:rsidR="00D05F6A">
        <w:rPr>
          <w:noProof/>
        </w:rPr>
        <w:t>……………………... (</w:t>
      </w:r>
      <w:r w:rsidR="00F7725D">
        <w:rPr>
          <w:noProof/>
        </w:rPr>
        <w:t>24</w:t>
      </w:r>
      <w:r w:rsidR="00D05F6A">
        <w:rPr>
          <w:noProof/>
        </w:rPr>
        <w:t>)</w:t>
      </w:r>
    </w:p>
    <w:p w14:paraId="454EFB3D" w14:textId="448C4D43" w:rsidR="00B8044A" w:rsidRPr="00B8044A" w:rsidRDefault="0010515D" w:rsidP="009D468A">
      <w:pPr>
        <w:spacing w:before="120" w:line="480" w:lineRule="auto"/>
        <w:jc w:val="both"/>
      </w:pPr>
      <w:r w:rsidRPr="00F44633">
        <w:rPr>
          <w:noProof/>
          <w:position w:val="-12"/>
        </w:rPr>
        <w:object w:dxaOrig="1219" w:dyaOrig="360" w14:anchorId="7EF738BB">
          <v:shape id="_x0000_i1065" type="#_x0000_t75" alt="" style="width:78.4pt;height:22.8pt;mso-width-percent:0;mso-height-percent:0;mso-width-percent:0;mso-height-percent:0" o:ole="">
            <v:imagedata r:id="rId86" o:title=""/>
          </v:shape>
          <o:OLEObject Type="Embed" ProgID="Equation.3" ShapeID="_x0000_i1065" DrawAspect="Content" ObjectID="_1712048742" r:id="rId87"/>
        </w:object>
      </w:r>
      <w:r w:rsidR="00D05F6A">
        <w:rPr>
          <w:noProof/>
        </w:rPr>
        <w:t xml:space="preserve"> ……………………... (</w:t>
      </w:r>
      <w:r w:rsidR="00F7725D">
        <w:rPr>
          <w:noProof/>
        </w:rPr>
        <w:t>25</w:t>
      </w:r>
      <w:r w:rsidR="00D05F6A">
        <w:rPr>
          <w:noProof/>
        </w:rPr>
        <w:t>)</w:t>
      </w:r>
    </w:p>
    <w:p w14:paraId="25E46B59" w14:textId="557CCF77" w:rsidR="005D3DBE" w:rsidRDefault="0010515D" w:rsidP="009D468A">
      <w:pPr>
        <w:spacing w:before="120" w:line="480" w:lineRule="auto"/>
        <w:jc w:val="both"/>
      </w:pPr>
      <w:r w:rsidRPr="00F44633">
        <w:rPr>
          <w:noProof/>
          <w:position w:val="-28"/>
        </w:rPr>
        <w:object w:dxaOrig="2180" w:dyaOrig="880" w14:anchorId="6B0B7DD0">
          <v:shape id="_x0000_i1066" type="#_x0000_t75" alt="" style="width:118.35pt;height:48.1pt;mso-width-percent:0;mso-height-percent:0;mso-width-percent:0;mso-height-percent:0" o:ole="">
            <v:imagedata r:id="rId88" o:title=""/>
          </v:shape>
          <o:OLEObject Type="Embed" ProgID="Equation.3" ShapeID="_x0000_i1066" DrawAspect="Content" ObjectID="_1712048743" r:id="rId89"/>
        </w:object>
      </w:r>
      <w:r w:rsidR="00B8044A" w:rsidRPr="00B8044A">
        <w:t xml:space="preserve"> </w:t>
      </w:r>
      <w:r w:rsidR="005D3DBE">
        <w:rPr>
          <w:noProof/>
        </w:rPr>
        <w:t>……………………... (</w:t>
      </w:r>
      <w:r w:rsidR="00F7725D">
        <w:rPr>
          <w:noProof/>
        </w:rPr>
        <w:t>26</w:t>
      </w:r>
      <w:r w:rsidR="005D3DBE">
        <w:rPr>
          <w:noProof/>
        </w:rPr>
        <w:t>)</w:t>
      </w:r>
    </w:p>
    <w:p w14:paraId="0DEE6998" w14:textId="302FF70D" w:rsidR="005D3DBE" w:rsidRDefault="0010515D" w:rsidP="009D468A">
      <w:pPr>
        <w:spacing w:before="120" w:line="480" w:lineRule="auto"/>
        <w:jc w:val="both"/>
      </w:pPr>
      <w:r w:rsidRPr="00F44633">
        <w:rPr>
          <w:noProof/>
          <w:position w:val="-12"/>
        </w:rPr>
        <w:object w:dxaOrig="1219" w:dyaOrig="360" w14:anchorId="36FAE7DC">
          <v:shape id="_x0000_i1067" type="#_x0000_t75" alt="" style="width:78.4pt;height:22.8pt;mso-width-percent:0;mso-height-percent:0;mso-width-percent:0;mso-height-percent:0" o:ole="">
            <v:imagedata r:id="rId90" o:title=""/>
          </v:shape>
          <o:OLEObject Type="Embed" ProgID="Equation.3" ShapeID="_x0000_i1067" DrawAspect="Content" ObjectID="_1712048744" r:id="rId91"/>
        </w:object>
      </w:r>
      <w:r w:rsidR="005D3DBE">
        <w:rPr>
          <w:noProof/>
        </w:rPr>
        <w:t>……………………... (</w:t>
      </w:r>
      <w:r w:rsidR="00F7725D">
        <w:rPr>
          <w:noProof/>
        </w:rPr>
        <w:t>27</w:t>
      </w:r>
      <w:r w:rsidR="005D3DBE">
        <w:rPr>
          <w:noProof/>
        </w:rPr>
        <w:t>)</w:t>
      </w:r>
    </w:p>
    <w:p w14:paraId="0209359F" w14:textId="3B257A00" w:rsidR="00B8044A" w:rsidRPr="00B8044A" w:rsidRDefault="0096709D" w:rsidP="009D468A">
      <w:pPr>
        <w:spacing w:before="120" w:line="480" w:lineRule="auto"/>
        <w:jc w:val="both"/>
      </w:pPr>
      <w:r>
        <w:t xml:space="preserve"> </w:t>
      </w:r>
      <w:r w:rsidR="0010515D" w:rsidRPr="00F44633">
        <w:rPr>
          <w:noProof/>
          <w:position w:val="-26"/>
        </w:rPr>
        <w:object w:dxaOrig="740" w:dyaOrig="620" w14:anchorId="3B8CD35C">
          <v:shape id="_x0000_i1068" type="#_x0000_t75" alt="" style="width:44.9pt;height:38.15pt;mso-width-percent:0;mso-height-percent:0;mso-width-percent:0;mso-height-percent:0" o:ole="">
            <v:imagedata r:id="rId92" o:title=""/>
          </v:shape>
          <o:OLEObject Type="Embed" ProgID="Equation.3" ShapeID="_x0000_i1068" DrawAspect="Content" ObjectID="_1712048745" r:id="rId93"/>
        </w:object>
      </w:r>
      <w:r w:rsidR="00D05F6A">
        <w:rPr>
          <w:noProof/>
        </w:rPr>
        <w:t>……………………... (</w:t>
      </w:r>
      <w:r w:rsidR="00F7725D">
        <w:rPr>
          <w:noProof/>
        </w:rPr>
        <w:t>28</w:t>
      </w:r>
      <w:r w:rsidR="00D05F6A">
        <w:rPr>
          <w:noProof/>
        </w:rPr>
        <w:t>)</w:t>
      </w:r>
    </w:p>
    <w:p w14:paraId="365ABBCD" w14:textId="77777777" w:rsidR="00B8044A" w:rsidRPr="00B8044A" w:rsidRDefault="00B8044A" w:rsidP="009D468A">
      <w:pPr>
        <w:spacing w:before="120" w:line="480" w:lineRule="auto"/>
        <w:jc w:val="both"/>
      </w:pPr>
      <w:r w:rsidRPr="00B8044A">
        <w:t xml:space="preserve">subject to the following boundary condition: </w:t>
      </w:r>
      <w:r w:rsidR="0010515D" w:rsidRPr="00F44633">
        <w:rPr>
          <w:noProof/>
          <w:position w:val="-10"/>
        </w:rPr>
        <w:object w:dxaOrig="2820" w:dyaOrig="279" w14:anchorId="1C016106">
          <v:shape id="_x0000_i1069" type="#_x0000_t75" alt="" style="width:167.5pt;height:15.7pt;mso-width-percent:0;mso-height-percent:0;mso-width-percent:0;mso-height-percent:0" o:ole="">
            <v:imagedata r:id="rId94" o:title=""/>
          </v:shape>
          <o:OLEObject Type="Embed" ProgID="Equation.3" ShapeID="_x0000_i1069" DrawAspect="Content" ObjectID="_1712048746" r:id="rId95"/>
        </w:object>
      </w:r>
      <w:r w:rsidRPr="00B8044A">
        <w:t xml:space="preserve">and terminal condition: </w:t>
      </w:r>
    </w:p>
    <w:p w14:paraId="51E3734D" w14:textId="27C62865" w:rsidR="00B8044A" w:rsidRPr="00B8044A" w:rsidRDefault="0010515D" w:rsidP="009D468A">
      <w:pPr>
        <w:spacing w:before="120" w:line="480" w:lineRule="auto"/>
        <w:jc w:val="both"/>
      </w:pPr>
      <w:r w:rsidRPr="00F44633">
        <w:rPr>
          <w:noProof/>
          <w:position w:val="-24"/>
        </w:rPr>
        <w:object w:dxaOrig="6600" w:dyaOrig="580" w14:anchorId="265D1AD0">
          <v:shape id="_x0000_i1070" type="#_x0000_t75" alt="" style="width:392.1pt;height:33.85pt;mso-width-percent:0;mso-height-percent:0;mso-width-percent:0;mso-height-percent:0" o:ole="">
            <v:imagedata r:id="rId96" o:title=""/>
          </v:shape>
          <o:OLEObject Type="Embed" ProgID="Equation.3" ShapeID="_x0000_i1070" DrawAspect="Content" ObjectID="_1712048747" r:id="rId97"/>
        </w:object>
      </w:r>
      <w:r w:rsidR="00D05F6A">
        <w:rPr>
          <w:noProof/>
        </w:rPr>
        <w:t>…… (</w:t>
      </w:r>
      <w:r w:rsidR="00F7725D">
        <w:rPr>
          <w:noProof/>
        </w:rPr>
        <w:t>29</w:t>
      </w:r>
      <w:r w:rsidR="00D05F6A">
        <w:rPr>
          <w:noProof/>
        </w:rPr>
        <w:t>)</w:t>
      </w:r>
    </w:p>
    <w:p w14:paraId="1DCB3AEC" w14:textId="323DC733" w:rsidR="00B8044A" w:rsidRDefault="008C33E8" w:rsidP="009D468A">
      <w:pPr>
        <w:spacing w:before="120" w:line="480" w:lineRule="auto"/>
        <w:jc w:val="both"/>
      </w:pPr>
      <w:r w:rsidRPr="00B8044A">
        <w:t xml:space="preserve">The evaluation examines multiple options by using the scenario that considers </w:t>
      </w:r>
      <w:r>
        <w:t xml:space="preserve">sequential </w:t>
      </w:r>
      <w:r w:rsidRPr="00B8044A">
        <w:t xml:space="preserve">investments: the investment, </w:t>
      </w:r>
      <w:r w:rsidRPr="00B8044A">
        <w:rPr>
          <w:i/>
        </w:rPr>
        <w:t>I</w:t>
      </w:r>
      <w:r w:rsidRPr="00B8044A">
        <w:rPr>
          <w:vertAlign w:val="subscript"/>
        </w:rPr>
        <w:t>1</w:t>
      </w:r>
      <w:r w:rsidRPr="00B8044A">
        <w:t xml:space="preserve">, is to expand, </w:t>
      </w:r>
      <w:r w:rsidRPr="00B8044A">
        <w:rPr>
          <w:i/>
        </w:rPr>
        <w:t>I</w:t>
      </w:r>
      <w:r w:rsidRPr="00B8044A">
        <w:rPr>
          <w:vertAlign w:val="subscript"/>
        </w:rPr>
        <w:t>2,</w:t>
      </w:r>
      <w:r w:rsidRPr="00B8044A">
        <w:rPr>
          <w:i/>
        </w:rPr>
        <w:t xml:space="preserve"> </w:t>
      </w:r>
      <w:r w:rsidRPr="00B8044A">
        <w:t>when</w:t>
      </w:r>
      <w:r w:rsidRPr="00B8044A">
        <w:rPr>
          <w:i/>
        </w:rPr>
        <w:t xml:space="preserve"> I</w:t>
      </w:r>
      <w:r w:rsidRPr="00B8044A">
        <w:rPr>
          <w:vertAlign w:val="subscript"/>
        </w:rPr>
        <w:t xml:space="preserve">1 </w:t>
      </w:r>
      <w:r w:rsidRPr="00B8044A">
        <w:t xml:space="preserve">is terminated, as the original plan is matured in </w:t>
      </w:r>
      <w:r>
        <w:t>12 months</w:t>
      </w:r>
      <w:r w:rsidRPr="00B8044A">
        <w:t xml:space="preserve"> and now expanded to </w:t>
      </w:r>
      <w:r>
        <w:t>24 months</w:t>
      </w:r>
      <w:r w:rsidRPr="00B8044A">
        <w:t xml:space="preserve">, the second investment is to invest a </w:t>
      </w:r>
      <w:r w:rsidRPr="00B8044A">
        <w:lastRenderedPageBreak/>
        <w:t xml:space="preserve">new project </w:t>
      </w:r>
      <w:r w:rsidRPr="00B8044A">
        <w:rPr>
          <w:i/>
        </w:rPr>
        <w:t>I</w:t>
      </w:r>
      <w:r w:rsidRPr="00B8044A">
        <w:rPr>
          <w:vertAlign w:val="subscript"/>
        </w:rPr>
        <w:t xml:space="preserve">3 </w:t>
      </w:r>
      <w:r w:rsidRPr="00B8044A">
        <w:t xml:space="preserve">that is correlated with </w:t>
      </w:r>
      <w:r w:rsidRPr="00B8044A">
        <w:rPr>
          <w:i/>
        </w:rPr>
        <w:t>I</w:t>
      </w:r>
      <w:r w:rsidRPr="00B8044A">
        <w:rPr>
          <w:vertAlign w:val="subscript"/>
        </w:rPr>
        <w:t>2</w:t>
      </w:r>
      <w:r w:rsidRPr="00B8044A">
        <w:t xml:space="preserve">, by deferring. </w:t>
      </w:r>
      <w:r w:rsidR="009409BC">
        <w:t>C</w:t>
      </w:r>
      <w:r w:rsidR="00B8044A" w:rsidRPr="00B8044A">
        <w:t>onsequently, the payoff may be expressed as the flexible net present value (FNPV) composed of the actual option premium C</w:t>
      </w:r>
      <w:r w:rsidR="00B8044A" w:rsidRPr="00B8044A">
        <w:rPr>
          <w:vertAlign w:val="subscript"/>
        </w:rPr>
        <w:t xml:space="preserve">A, </w:t>
      </w:r>
      <w:r w:rsidR="00B8044A" w:rsidRPr="00B8044A">
        <w:t>and the theoretical worth of option C</w:t>
      </w:r>
      <w:r w:rsidR="00837A7B">
        <w:rPr>
          <w:vertAlign w:val="subscript"/>
        </w:rPr>
        <w:t>0</w:t>
      </w:r>
      <w:r w:rsidR="00E83AF9">
        <w:t>.</w:t>
      </w:r>
      <w:r w:rsidR="00B8044A" w:rsidRPr="00B8044A">
        <w:t xml:space="preserve"> </w:t>
      </w:r>
      <w:r w:rsidR="009F0840">
        <w:t>T</w:t>
      </w:r>
      <w:r w:rsidR="009F0840" w:rsidRPr="00B8044A">
        <w:t xml:space="preserve">he </w:t>
      </w:r>
      <w:r w:rsidR="009F0840">
        <w:t xml:space="preserve">business option or growth </w:t>
      </w:r>
      <w:r w:rsidR="009F0840" w:rsidRPr="00B8044A">
        <w:t xml:space="preserve">opportunities </w:t>
      </w:r>
      <w:r w:rsidR="00AE3E28">
        <w:t xml:space="preserve">are </w:t>
      </w:r>
      <w:r w:rsidR="009F0840" w:rsidRPr="00B8044A">
        <w:t xml:space="preserve">available to </w:t>
      </w:r>
      <w:r w:rsidR="009F0840">
        <w:t xml:space="preserve">a </w:t>
      </w:r>
      <w:r w:rsidR="009F0840" w:rsidRPr="00B8044A">
        <w:t>firm</w:t>
      </w:r>
      <w:r w:rsidR="00AE3E28">
        <w:t>.</w:t>
      </w:r>
      <w:r w:rsidR="009F0840" w:rsidRPr="00B8044A">
        <w:t xml:space="preserve"> </w:t>
      </w:r>
      <w:r w:rsidR="00AE3E28">
        <w:t>Yet h</w:t>
      </w:r>
      <w:r w:rsidR="009F0840" w:rsidRPr="00B8044A">
        <w:t xml:space="preserve">ere </w:t>
      </w:r>
      <w:r w:rsidR="009F0840">
        <w:t xml:space="preserve">is </w:t>
      </w:r>
      <w:r w:rsidR="009F0840" w:rsidRPr="00B8044A">
        <w:t xml:space="preserve">the assumption </w:t>
      </w:r>
      <w:r w:rsidR="009F0840">
        <w:t>that</w:t>
      </w:r>
      <w:r w:rsidR="009F0840" w:rsidRPr="00B8044A">
        <w:t xml:space="preserve"> the volatility is an unlevered estimate </w:t>
      </w:r>
      <w:r w:rsidR="009F0840">
        <w:t>though that can be</w:t>
      </w:r>
      <w:r w:rsidR="009F0840" w:rsidRPr="00B8044A">
        <w:t xml:space="preserve"> calculated</w:t>
      </w:r>
      <w:r w:rsidR="009F0840">
        <w:t>,</w:t>
      </w:r>
      <w:r w:rsidR="009F0840" w:rsidRPr="00B8044A">
        <w:t xml:space="preserve"> </w:t>
      </w:r>
      <w:r w:rsidR="009F0840" w:rsidRPr="00E83AF9">
        <w:t>from the historical stock price volatility) and volatility on its publicly traded option prices</w:t>
      </w:r>
      <w:r w:rsidR="009F0840">
        <w:t>.</w:t>
      </w:r>
      <w:r w:rsidR="009F0840" w:rsidRPr="00E83AF9">
        <w:t xml:space="preserve"> </w:t>
      </w:r>
      <w:r w:rsidR="009F0840">
        <w:t>W</w:t>
      </w:r>
      <w:r w:rsidR="009F0840" w:rsidRPr="00B8044A">
        <w:t>here future price</w:t>
      </w:r>
      <w:r w:rsidR="009F0840">
        <w:t>s are</w:t>
      </w:r>
      <w:r w:rsidR="009F0840" w:rsidRPr="00B8044A">
        <w:t xml:space="preserve"> equal to the present value of the cash inflows, </w:t>
      </w:r>
      <w:r w:rsidR="009F0840" w:rsidRPr="00FA32F8">
        <w:rPr>
          <w:i/>
          <w:iCs/>
        </w:rPr>
        <w:t>V</w:t>
      </w:r>
      <w:r w:rsidR="009F0840" w:rsidRPr="00B8044A">
        <w:rPr>
          <w:iCs/>
          <w:vertAlign w:val="subscript"/>
        </w:rPr>
        <w:t>T</w:t>
      </w:r>
      <w:r w:rsidR="009F0840" w:rsidRPr="00B8044A">
        <w:t xml:space="preserve">, at time </w:t>
      </w:r>
      <w:r w:rsidR="009F0840" w:rsidRPr="00B8044A">
        <w:rPr>
          <w:iCs/>
        </w:rPr>
        <w:t>T</w:t>
      </w:r>
      <w:r w:rsidR="009F0840" w:rsidRPr="00B8044A">
        <w:t xml:space="preserve"> with exercise price </w:t>
      </w:r>
      <w:r w:rsidR="009F0840" w:rsidRPr="00FA32F8">
        <w:rPr>
          <w:i/>
        </w:rPr>
        <w:t>I</w:t>
      </w:r>
      <w:r w:rsidR="009F0840" w:rsidRPr="00B8044A">
        <w:t xml:space="preserve">. </w:t>
      </w:r>
      <w:r w:rsidR="009F0840">
        <w:t xml:space="preserve">This </w:t>
      </w:r>
      <w:r w:rsidR="001441E2">
        <w:t xml:space="preserve">drives the </w:t>
      </w:r>
      <w:r w:rsidR="009F0840">
        <w:t xml:space="preserve">alternative </w:t>
      </w:r>
      <w:r w:rsidR="00106F04">
        <w:t xml:space="preserve">of </w:t>
      </w:r>
      <w:r w:rsidR="001441E2">
        <w:t xml:space="preserve">third Hypothesis: </w:t>
      </w:r>
    </w:p>
    <w:p w14:paraId="7CA8CB3B" w14:textId="0A55FAD9" w:rsidR="00D85C1A" w:rsidRDefault="008B30DF" w:rsidP="003A50C6">
      <w:pPr>
        <w:spacing w:before="240" w:after="120" w:line="480" w:lineRule="auto"/>
        <w:rPr>
          <w:b/>
        </w:rPr>
      </w:pPr>
      <w:r>
        <w:rPr>
          <w:color w:val="000000" w:themeColor="text1"/>
        </w:rPr>
        <w:t xml:space="preserve"> </w:t>
      </w:r>
      <w:r w:rsidR="009F0840" w:rsidRPr="003D7A29">
        <w:rPr>
          <w:i/>
          <w:iCs/>
        </w:rPr>
        <w:t>H</w:t>
      </w:r>
      <w:r w:rsidR="009F0840">
        <w:rPr>
          <w:i/>
          <w:iCs/>
        </w:rPr>
        <w:t>3b</w:t>
      </w:r>
      <w:r w:rsidR="009F0840" w:rsidRPr="003D7A29">
        <w:rPr>
          <w:i/>
          <w:iCs/>
        </w:rPr>
        <w:t xml:space="preserve">: </w:t>
      </w:r>
      <w:r w:rsidR="009F0840">
        <w:rPr>
          <w:i/>
          <w:iCs/>
        </w:rPr>
        <w:t>With respect to government sector ‘deferral’ and ‘expand’ option</w:t>
      </w:r>
      <w:r w:rsidR="00AE3E28">
        <w:rPr>
          <w:i/>
          <w:iCs/>
        </w:rPr>
        <w:t>s</w:t>
      </w:r>
      <w:r w:rsidR="009F0840">
        <w:rPr>
          <w:i/>
          <w:iCs/>
        </w:rPr>
        <w:t>,</w:t>
      </w:r>
      <w:r w:rsidR="005B1101">
        <w:rPr>
          <w:i/>
          <w:iCs/>
        </w:rPr>
        <w:t xml:space="preserve"> </w:t>
      </w:r>
      <w:r w:rsidR="00AE3E28">
        <w:rPr>
          <w:i/>
          <w:iCs/>
        </w:rPr>
        <w:t>some</w:t>
      </w:r>
      <w:r w:rsidR="005B1101">
        <w:rPr>
          <w:i/>
          <w:iCs/>
        </w:rPr>
        <w:t xml:space="preserve"> </w:t>
      </w:r>
      <w:r w:rsidR="00AE3E28">
        <w:rPr>
          <w:i/>
          <w:iCs/>
        </w:rPr>
        <w:t xml:space="preserve">businesses in the </w:t>
      </w:r>
      <w:r w:rsidR="009F0840">
        <w:rPr>
          <w:i/>
          <w:iCs/>
        </w:rPr>
        <w:t>corporate sector</w:t>
      </w:r>
      <w:r w:rsidR="005B1101">
        <w:rPr>
          <w:i/>
          <w:iCs/>
        </w:rPr>
        <w:t>,</w:t>
      </w:r>
      <w:r w:rsidR="009F0840">
        <w:rPr>
          <w:i/>
          <w:iCs/>
        </w:rPr>
        <w:t xml:space="preserve"> </w:t>
      </w:r>
      <w:r w:rsidR="009F0840" w:rsidRPr="003D7A29">
        <w:rPr>
          <w:i/>
          <w:iCs/>
        </w:rPr>
        <w:t xml:space="preserve">Project </w:t>
      </w:r>
      <w:r w:rsidR="009F0840">
        <w:rPr>
          <w:i/>
          <w:iCs/>
        </w:rPr>
        <w:t>D</w:t>
      </w:r>
      <w:r w:rsidR="005B1101">
        <w:rPr>
          <w:i/>
          <w:iCs/>
        </w:rPr>
        <w:t>,</w:t>
      </w:r>
      <w:r w:rsidR="009F0840">
        <w:rPr>
          <w:i/>
          <w:iCs/>
        </w:rPr>
        <w:t xml:space="preserve"> by switching operation pattens</w:t>
      </w:r>
      <w:r w:rsidR="009F0840" w:rsidRPr="003D7A29">
        <w:rPr>
          <w:i/>
          <w:iCs/>
        </w:rPr>
        <w:t xml:space="preserve"> will </w:t>
      </w:r>
      <w:r w:rsidR="00AE3E28">
        <w:rPr>
          <w:i/>
          <w:iCs/>
        </w:rPr>
        <w:t>lead to</w:t>
      </w:r>
      <w:r w:rsidR="009F0840">
        <w:rPr>
          <w:i/>
          <w:iCs/>
        </w:rPr>
        <w:t xml:space="preserve"> </w:t>
      </w:r>
      <w:r w:rsidR="00AE3E28">
        <w:rPr>
          <w:i/>
          <w:iCs/>
        </w:rPr>
        <w:t>some abandonments of</w:t>
      </w:r>
      <w:r w:rsidR="009F0840">
        <w:rPr>
          <w:i/>
          <w:iCs/>
        </w:rPr>
        <w:t xml:space="preserve"> investment, which </w:t>
      </w:r>
      <w:r w:rsidR="00297459">
        <w:rPr>
          <w:i/>
          <w:iCs/>
        </w:rPr>
        <w:t xml:space="preserve">drive </w:t>
      </w:r>
      <w:r w:rsidR="007F4958">
        <w:rPr>
          <w:i/>
          <w:iCs/>
        </w:rPr>
        <w:t xml:space="preserve">them </w:t>
      </w:r>
      <w:r w:rsidR="00297459">
        <w:rPr>
          <w:i/>
          <w:iCs/>
        </w:rPr>
        <w:t xml:space="preserve">to </w:t>
      </w:r>
      <w:r w:rsidR="009F0840">
        <w:rPr>
          <w:i/>
          <w:iCs/>
        </w:rPr>
        <w:t>further uncertainty and declined growt</w:t>
      </w:r>
      <w:r w:rsidR="00297459">
        <w:rPr>
          <w:i/>
          <w:iCs/>
        </w:rPr>
        <w:t>h</w:t>
      </w:r>
      <w:r w:rsidR="009F0840">
        <w:rPr>
          <w:i/>
          <w:iCs/>
        </w:rPr>
        <w:t xml:space="preserve">.  </w:t>
      </w:r>
      <w:r w:rsidR="009F0840" w:rsidRPr="003D7A29">
        <w:rPr>
          <w:i/>
          <w:iCs/>
        </w:rPr>
        <w:t xml:space="preserve"> </w:t>
      </w:r>
      <w:r>
        <w:rPr>
          <w:color w:val="000000" w:themeColor="text1"/>
        </w:rPr>
        <w:t xml:space="preserve">  </w:t>
      </w:r>
      <w:r w:rsidR="009F0840" w:rsidRPr="00AE6602">
        <w:rPr>
          <w:i/>
          <w:iCs/>
        </w:rPr>
        <w:t>Proof</w:t>
      </w:r>
      <w:r w:rsidR="009F0840">
        <w:t xml:space="preserve"> </w:t>
      </w:r>
      <w:r w:rsidR="00010125" w:rsidRPr="00AE6602">
        <w:rPr>
          <w:i/>
          <w:iCs/>
        </w:rPr>
        <w:t>3b</w:t>
      </w:r>
      <w:r w:rsidR="00010125">
        <w:t xml:space="preserve">: The </w:t>
      </w:r>
      <w:r w:rsidR="00151AE5" w:rsidRPr="00FD2CA7">
        <w:t xml:space="preserve">FNPV </w:t>
      </w:r>
      <w:r w:rsidR="00151AE5">
        <w:t xml:space="preserve">arises </w:t>
      </w:r>
      <w:r w:rsidR="00151AE5" w:rsidRPr="00FD2CA7">
        <w:t xml:space="preserve">from </w:t>
      </w:r>
      <w:r w:rsidR="00151AE5">
        <w:t>(</w:t>
      </w:r>
      <w:r w:rsidR="00151AE5" w:rsidRPr="00FD2CA7">
        <w:t>-</w:t>
      </w:r>
      <w:r w:rsidR="00151AE5" w:rsidRPr="007A0B53">
        <w:rPr>
          <w:i/>
          <w:iCs/>
        </w:rPr>
        <w:t>V</w:t>
      </w:r>
      <w:r w:rsidR="00151AE5">
        <w:t>)- (+</w:t>
      </w:r>
      <w:r w:rsidR="00151AE5" w:rsidRPr="007A0B53">
        <w:rPr>
          <w:i/>
          <w:iCs/>
        </w:rPr>
        <w:t>V</w:t>
      </w:r>
      <w:r w:rsidR="00151AE5">
        <w:t>)</w:t>
      </w:r>
      <w:r w:rsidR="00151AE5" w:rsidRPr="00FD2CA7">
        <w:t xml:space="preserve"> </w:t>
      </w:r>
      <w:r w:rsidR="00151AE5">
        <w:t>=</w:t>
      </w:r>
      <w:r w:rsidR="00151AE5" w:rsidRPr="00FD2CA7">
        <w:t xml:space="preserve"> </w:t>
      </w:r>
      <w:r w:rsidR="00151AE5">
        <w:t>-</w:t>
      </w:r>
      <w:r w:rsidR="00151AE5" w:rsidRPr="007A0B53">
        <w:rPr>
          <w:i/>
          <w:iCs/>
        </w:rPr>
        <w:t>V</w:t>
      </w:r>
      <w:r w:rsidR="00151AE5">
        <w:t>, which suggests some loss</w:t>
      </w:r>
      <w:r w:rsidR="00402C3C">
        <w:t>,</w:t>
      </w:r>
      <w:r w:rsidR="00151AE5" w:rsidRPr="00FD2CA7">
        <w:t xml:space="preserve"> and </w:t>
      </w:r>
      <w:r w:rsidR="00C84028">
        <w:t xml:space="preserve">abandonment </w:t>
      </w:r>
      <w:r w:rsidR="00151AE5">
        <w:t>is</w:t>
      </w:r>
      <w:r w:rsidR="00151AE5" w:rsidRPr="00FD2CA7">
        <w:t xml:space="preserve"> not recommended. </w:t>
      </w:r>
      <w:r w:rsidR="00106F04">
        <w:t>T</w:t>
      </w:r>
      <w:r w:rsidR="004D2DE9">
        <w:t xml:space="preserve">he abandonment </w:t>
      </w:r>
      <w:r w:rsidR="00B8044A" w:rsidRPr="00B8044A">
        <w:t xml:space="preserve">investment in </w:t>
      </w:r>
      <w:r w:rsidR="00DD5CB8">
        <w:t>E</w:t>
      </w:r>
      <w:r w:rsidR="00B8044A" w:rsidRPr="00B8044A">
        <w:t xml:space="preserve"> </w:t>
      </w:r>
      <w:r w:rsidR="004D2DE9">
        <w:t xml:space="preserve">within the time scale and value distribution </w:t>
      </w:r>
      <w:r w:rsidR="00151AE5">
        <w:t xml:space="preserve">is such </w:t>
      </w:r>
      <w:r w:rsidR="00DD5CB8">
        <w:t xml:space="preserve">that </w:t>
      </w:r>
      <w:r w:rsidR="00B8044A" w:rsidRPr="00B8044A">
        <w:t>the economic viability requires the valuation of options on both assets while evaluating the correlation between the two assets.</w:t>
      </w:r>
      <w:r w:rsidR="00151AE5">
        <w:t xml:space="preserve"> </w:t>
      </w:r>
      <w:r w:rsidR="00DD5CB8">
        <w:t xml:space="preserve">Our </w:t>
      </w:r>
      <w:r w:rsidR="00AA6DB0">
        <w:t>ROA suggest</w:t>
      </w:r>
      <w:r w:rsidR="00174DA5">
        <w:t>s</w:t>
      </w:r>
      <w:r w:rsidR="00AA6DB0">
        <w:t xml:space="preserve"> that if the source of the uncertainty is </w:t>
      </w:r>
      <w:r w:rsidR="00C448FC">
        <w:t xml:space="preserve">a </w:t>
      </w:r>
      <w:r w:rsidR="00AA6DB0">
        <w:t xml:space="preserve">lack of information, </w:t>
      </w:r>
      <w:r w:rsidR="00D00341">
        <w:t xml:space="preserve">the </w:t>
      </w:r>
      <w:r w:rsidR="00AA6DB0">
        <w:t xml:space="preserve">option </w:t>
      </w:r>
      <w:r w:rsidR="00D00341">
        <w:t xml:space="preserve">(of </w:t>
      </w:r>
      <w:r w:rsidR="00C84028">
        <w:t xml:space="preserve">partial or switching </w:t>
      </w:r>
      <w:r w:rsidR="00D00341">
        <w:t xml:space="preserve">investment than abandonment) </w:t>
      </w:r>
      <w:r w:rsidR="00AA6DB0">
        <w:t>may also be valuable.</w:t>
      </w:r>
      <w:r w:rsidR="00A82031">
        <w:t xml:space="preserve"> </w:t>
      </w:r>
      <w:r w:rsidR="00402C3C" w:rsidRPr="00FD2CA7">
        <w:t>Due to the time delay and the costs</w:t>
      </w:r>
      <w:r w:rsidR="00402C3C" w:rsidRPr="0060474A">
        <w:t xml:space="preserve"> </w:t>
      </w:r>
      <w:r w:rsidR="00402C3C">
        <w:t>(Project E, abandon) for future growth</w:t>
      </w:r>
      <w:r w:rsidR="00402C3C" w:rsidRPr="00FD2CA7">
        <w:t xml:space="preserve">, the NPV </w:t>
      </w:r>
      <w:r w:rsidR="00B337C1">
        <w:t>will be</w:t>
      </w:r>
      <w:r w:rsidR="00402C3C" w:rsidRPr="00FD2CA7">
        <w:t xml:space="preserve"> negative for both</w:t>
      </w:r>
      <w:r w:rsidR="00402C3C">
        <w:t xml:space="preserve"> (D and E)</w:t>
      </w:r>
      <w:r w:rsidR="00D1373C">
        <w:t>.</w:t>
      </w:r>
      <w:r w:rsidR="00402C3C" w:rsidRPr="00FD2CA7">
        <w:t xml:space="preserve"> </w:t>
      </w:r>
      <w:r w:rsidR="00D1373C">
        <w:t>I</w:t>
      </w:r>
      <w:r w:rsidR="00402C3C">
        <w:t xml:space="preserve">nstead, </w:t>
      </w:r>
      <w:r w:rsidR="00D1373C">
        <w:t xml:space="preserve">rather, </w:t>
      </w:r>
      <w:r w:rsidR="00402C3C">
        <w:t xml:space="preserve">the ability to suspend investment before spending the total investment expenditures </w:t>
      </w:r>
      <w:r w:rsidR="00D1373C">
        <w:t xml:space="preserve">will </w:t>
      </w:r>
      <w:r w:rsidR="00402C3C">
        <w:t xml:space="preserve">reduce the irreversibility of the whole investment project. </w:t>
      </w:r>
    </w:p>
    <w:p w14:paraId="21C4F0EB" w14:textId="77777777" w:rsidR="00D8788D" w:rsidRDefault="00D8788D" w:rsidP="00D8788D">
      <w:pPr>
        <w:spacing w:before="240" w:after="120" w:line="480" w:lineRule="auto"/>
        <w:rPr>
          <w:b/>
        </w:rPr>
      </w:pPr>
    </w:p>
    <w:p w14:paraId="50B37DB0" w14:textId="558D1E01" w:rsidR="00B8044A" w:rsidRPr="00D8788D" w:rsidRDefault="004110F4" w:rsidP="00D8788D">
      <w:pPr>
        <w:spacing w:before="240" w:after="120" w:line="480" w:lineRule="auto"/>
        <w:rPr>
          <w:b/>
        </w:rPr>
      </w:pPr>
      <w:r w:rsidRPr="00D8788D">
        <w:rPr>
          <w:b/>
        </w:rPr>
        <w:t>Analy</w:t>
      </w:r>
      <w:r w:rsidR="003A50C6" w:rsidRPr="00D8788D">
        <w:rPr>
          <w:b/>
        </w:rPr>
        <w:t>tical results</w:t>
      </w:r>
      <w:r w:rsidR="000332A1" w:rsidRPr="00D8788D">
        <w:rPr>
          <w:b/>
        </w:rPr>
        <w:t xml:space="preserve"> of the </w:t>
      </w:r>
      <w:r w:rsidR="00A54946" w:rsidRPr="00D8788D">
        <w:rPr>
          <w:b/>
        </w:rPr>
        <w:t xml:space="preserve">sequential </w:t>
      </w:r>
      <w:r w:rsidR="000332A1" w:rsidRPr="00D8788D">
        <w:rPr>
          <w:b/>
        </w:rPr>
        <w:t xml:space="preserve">real options </w:t>
      </w:r>
    </w:p>
    <w:bookmarkEnd w:id="0"/>
    <w:p w14:paraId="41733F30" w14:textId="6596B28C" w:rsidR="00E428A7" w:rsidRPr="00BF7C23" w:rsidRDefault="00E66D63" w:rsidP="00E428A7">
      <w:pPr>
        <w:spacing w:before="120" w:line="480" w:lineRule="auto"/>
        <w:jc w:val="both"/>
        <w:rPr>
          <w:color w:val="0D0D0D" w:themeColor="text1" w:themeTint="F2"/>
        </w:rPr>
      </w:pPr>
      <w:r>
        <w:t>W</w:t>
      </w:r>
      <w:r w:rsidR="00E428A7">
        <w:t xml:space="preserve">e </w:t>
      </w:r>
      <w:r>
        <w:t xml:space="preserve">drew on data from our observations and </w:t>
      </w:r>
      <w:r w:rsidR="00E428A7">
        <w:t>ha</w:t>
      </w:r>
      <w:r>
        <w:t>d</w:t>
      </w:r>
      <w:r w:rsidR="00E428A7">
        <w:t xml:space="preserve"> </w:t>
      </w:r>
      <w:r>
        <w:t>a set of</w:t>
      </w:r>
      <w:r w:rsidR="00E428A7">
        <w:t xml:space="preserve"> values</w:t>
      </w:r>
      <w:r>
        <w:t>,</w:t>
      </w:r>
      <w:r w:rsidR="00E428A7">
        <w:t xml:space="preserve"> </w:t>
      </w:r>
      <w:r>
        <w:t xml:space="preserve">which were also used </w:t>
      </w:r>
      <w:r w:rsidR="00E428A7">
        <w:t>accommodating with Figure 3</w:t>
      </w:r>
      <w:r>
        <w:t xml:space="preserve"> presented earlier. We considered </w:t>
      </w:r>
      <w:r>
        <w:rPr>
          <w:color w:val="0D0D0D" w:themeColor="text1" w:themeTint="F2"/>
        </w:rPr>
        <w:t>t</w:t>
      </w:r>
      <w:r w:rsidR="00E428A7" w:rsidRPr="00BF7C23">
        <w:rPr>
          <w:color w:val="0D0D0D" w:themeColor="text1" w:themeTint="F2"/>
        </w:rPr>
        <w:t xml:space="preserve">he project </w:t>
      </w:r>
      <w:r w:rsidR="00E428A7">
        <w:rPr>
          <w:color w:val="0D0D0D" w:themeColor="text1" w:themeTint="F2"/>
        </w:rPr>
        <w:t xml:space="preserve">of </w:t>
      </w:r>
      <w:r w:rsidR="00E428A7" w:rsidRPr="00BF7C23">
        <w:rPr>
          <w:color w:val="0D0D0D" w:themeColor="text1" w:themeTint="F2"/>
        </w:rPr>
        <w:t>starting value</w:t>
      </w:r>
      <w:r w:rsidR="00E428A7">
        <w:rPr>
          <w:color w:val="0D0D0D" w:themeColor="text1" w:themeTint="F2"/>
        </w:rPr>
        <w:t xml:space="preserve"> </w:t>
      </w:r>
      <w:r w:rsidR="00E428A7" w:rsidRPr="003D7A29">
        <w:rPr>
          <w:i/>
          <w:iCs/>
          <w:color w:val="0D0D0D" w:themeColor="text1" w:themeTint="F2"/>
        </w:rPr>
        <w:t>V</w:t>
      </w:r>
      <w:r w:rsidR="00E428A7" w:rsidRPr="00BF7C23">
        <w:rPr>
          <w:color w:val="0D0D0D" w:themeColor="text1" w:themeTint="F2"/>
        </w:rPr>
        <w:t xml:space="preserve"> </w:t>
      </w:r>
      <w:r w:rsidR="00E428A7">
        <w:rPr>
          <w:color w:val="0D0D0D" w:themeColor="text1" w:themeTint="F2"/>
        </w:rPr>
        <w:t>(</w:t>
      </w:r>
      <w:r w:rsidR="00E428A7" w:rsidRPr="00BF7C23">
        <w:rPr>
          <w:color w:val="0D0D0D" w:themeColor="text1" w:themeTint="F2"/>
        </w:rPr>
        <w:t xml:space="preserve">£ </w:t>
      </w:r>
      <w:r w:rsidR="00E428A7">
        <w:rPr>
          <w:color w:val="0D0D0D" w:themeColor="text1" w:themeTint="F2"/>
        </w:rPr>
        <w:t xml:space="preserve">180 </w:t>
      </w:r>
      <w:r w:rsidR="00E428A7" w:rsidRPr="00BF7C23">
        <w:rPr>
          <w:color w:val="0D0D0D" w:themeColor="text1" w:themeTint="F2"/>
        </w:rPr>
        <w:t xml:space="preserve">million) for a time </w:t>
      </w:r>
      <w:r w:rsidR="00E428A7" w:rsidRPr="00BF7C23">
        <w:rPr>
          <w:i/>
          <w:iCs/>
          <w:color w:val="0D0D0D" w:themeColor="text1" w:themeTint="F2"/>
        </w:rPr>
        <w:t>t</w:t>
      </w:r>
      <w:r w:rsidR="00E428A7" w:rsidRPr="00BF7C23">
        <w:rPr>
          <w:color w:val="0D0D0D" w:themeColor="text1" w:themeTint="F2"/>
        </w:rPr>
        <w:t xml:space="preserve"> =12 months (4 quarters), risk-free (or risk neutral) rate </w:t>
      </w:r>
      <w:r w:rsidR="00E428A7" w:rsidRPr="00BF7C23">
        <w:rPr>
          <w:i/>
          <w:iCs/>
          <w:color w:val="0D0D0D" w:themeColor="text1" w:themeTint="F2"/>
        </w:rPr>
        <w:t>r</w:t>
      </w:r>
      <w:r w:rsidR="00E428A7" w:rsidRPr="00BF7C23">
        <w:rPr>
          <w:color w:val="0D0D0D" w:themeColor="text1" w:themeTint="F2"/>
        </w:rPr>
        <w:t xml:space="preserve"> (per quarter) </w:t>
      </w:r>
      <w:r w:rsidR="00E428A7" w:rsidRPr="00BF7C23">
        <w:rPr>
          <w:color w:val="0D0D0D" w:themeColor="text1" w:themeTint="F2"/>
        </w:rPr>
        <w:lastRenderedPageBreak/>
        <w:t xml:space="preserve">= 0.4, the call price </w:t>
      </w:r>
      <w:r w:rsidR="00E428A7" w:rsidRPr="00BF7C23">
        <w:rPr>
          <w:i/>
          <w:iCs/>
          <w:color w:val="0D0D0D" w:themeColor="text1" w:themeTint="F2"/>
        </w:rPr>
        <w:t xml:space="preserve">I </w:t>
      </w:r>
      <w:r w:rsidR="00E428A7" w:rsidRPr="00BF7C23">
        <w:rPr>
          <w:color w:val="0D0D0D" w:themeColor="text1" w:themeTint="F2"/>
        </w:rPr>
        <w:t>= 104</w:t>
      </w:r>
      <w:r>
        <w:rPr>
          <w:color w:val="0D0D0D" w:themeColor="text1" w:themeTint="F2"/>
        </w:rPr>
        <w:t xml:space="preserve"> (see also Appendix 1).</w:t>
      </w:r>
      <w:r w:rsidR="00E428A7" w:rsidRPr="00BF7C23">
        <w:rPr>
          <w:color w:val="0D0D0D" w:themeColor="text1" w:themeTint="F2"/>
        </w:rPr>
        <w:t xml:space="preserve"> The value with the option to defer (implicit in the lockdown) ha</w:t>
      </w:r>
      <w:r>
        <w:rPr>
          <w:color w:val="0D0D0D" w:themeColor="text1" w:themeTint="F2"/>
        </w:rPr>
        <w:t>d</w:t>
      </w:r>
      <w:r w:rsidR="00E428A7" w:rsidRPr="00BF7C23">
        <w:rPr>
          <w:color w:val="0D0D0D" w:themeColor="text1" w:themeTint="F2"/>
        </w:rPr>
        <w:t xml:space="preserve"> asymmetrically altered the structure of the payoffs. Then the estimated option value suggest</w:t>
      </w:r>
      <w:r>
        <w:rPr>
          <w:color w:val="0D0D0D" w:themeColor="text1" w:themeTint="F2"/>
        </w:rPr>
        <w:t>ed</w:t>
      </w:r>
      <w:r w:rsidR="00E428A7" w:rsidRPr="00BF7C23">
        <w:rPr>
          <w:color w:val="0D0D0D" w:themeColor="text1" w:themeTint="F2"/>
        </w:rPr>
        <w:t xml:space="preserve"> that instead of paying </w:t>
      </w:r>
      <w:r w:rsidR="00E428A7">
        <w:rPr>
          <w:color w:val="0D0D0D" w:themeColor="text1" w:themeTint="F2"/>
        </w:rPr>
        <w:t xml:space="preserve">for the cost of investment </w:t>
      </w:r>
      <w:r w:rsidR="00E428A7" w:rsidRPr="00BF7C23">
        <w:rPr>
          <w:color w:val="0D0D0D" w:themeColor="text1" w:themeTint="F2"/>
        </w:rPr>
        <w:t xml:space="preserve">immediately, </w:t>
      </w:r>
      <w:r w:rsidR="00E428A7">
        <w:rPr>
          <w:color w:val="0D0D0D" w:themeColor="text1" w:themeTint="F2"/>
        </w:rPr>
        <w:t xml:space="preserve">the </w:t>
      </w:r>
      <w:r w:rsidR="00E428A7" w:rsidRPr="00BF7C23">
        <w:rPr>
          <w:color w:val="0D0D0D" w:themeColor="text1" w:themeTint="F2"/>
        </w:rPr>
        <w:t>optim</w:t>
      </w:r>
      <w:r w:rsidR="00E428A7">
        <w:rPr>
          <w:color w:val="0D0D0D" w:themeColor="text1" w:themeTint="F2"/>
        </w:rPr>
        <w:t>al</w:t>
      </w:r>
      <w:r w:rsidR="00E428A7" w:rsidRPr="00BF7C23">
        <w:rPr>
          <w:color w:val="0D0D0D" w:themeColor="text1" w:themeTint="F2"/>
        </w:rPr>
        <w:t xml:space="preserve"> defer</w:t>
      </w:r>
      <w:r w:rsidR="00431AF2">
        <w:rPr>
          <w:color w:val="0D0D0D" w:themeColor="text1" w:themeTint="F2"/>
        </w:rPr>
        <w:t xml:space="preserve"> </w:t>
      </w:r>
      <w:r w:rsidR="00E428A7" w:rsidRPr="00BF7C23">
        <w:rPr>
          <w:color w:val="0D0D0D" w:themeColor="text1" w:themeTint="F2"/>
        </w:rPr>
        <w:t xml:space="preserve">is </w:t>
      </w:r>
      <w:r w:rsidR="00E428A7">
        <w:rPr>
          <w:color w:val="0D0D0D" w:themeColor="text1" w:themeTint="F2"/>
        </w:rPr>
        <w:t xml:space="preserve">advantageous </w:t>
      </w:r>
      <w:r w:rsidR="00E428A7" w:rsidRPr="00BF7C23">
        <w:rPr>
          <w:color w:val="0D0D0D" w:themeColor="text1" w:themeTint="F2"/>
        </w:rPr>
        <w:t>because</w:t>
      </w:r>
      <w:r w:rsidR="00E428A7">
        <w:rPr>
          <w:color w:val="0D0D0D" w:themeColor="text1" w:themeTint="F2"/>
        </w:rPr>
        <w:t xml:space="preserve"> the deferral drives value growth both in </w:t>
      </w:r>
      <w:r w:rsidR="00E428A7" w:rsidRPr="00BF7C23">
        <w:rPr>
          <w:color w:val="0D0D0D" w:themeColor="text1" w:themeTint="F2"/>
        </w:rPr>
        <w:t xml:space="preserve">  </w:t>
      </w:r>
    </w:p>
    <w:p w14:paraId="7D4BF278" w14:textId="77777777" w:rsidR="00E428A7" w:rsidRPr="00BF7C23" w:rsidRDefault="000669BA" w:rsidP="00E428A7">
      <w:pPr>
        <w:spacing w:before="120" w:line="480" w:lineRule="auto"/>
        <w:rPr>
          <w:color w:val="0D0D0D" w:themeColor="text1" w:themeTint="F2"/>
        </w:rPr>
      </w:pPr>
      <m:oMathPara>
        <m:oMathParaPr>
          <m:jc m:val="left"/>
        </m:oMathParaPr>
        <m:oMath>
          <m:sSup>
            <m:sSupPr>
              <m:ctrlPr>
                <w:rPr>
                  <w:rFonts w:ascii="Cambria Math" w:hAnsi="Cambria Math"/>
                  <w:i/>
                  <w:color w:val="0D0D0D" w:themeColor="text1" w:themeTint="F2"/>
                </w:rPr>
              </m:ctrlPr>
            </m:sSupPr>
            <m:e>
              <m:r>
                <w:rPr>
                  <w:rFonts w:ascii="Cambria Math" w:hAnsi="Cambria Math"/>
                  <w:color w:val="0D0D0D" w:themeColor="text1" w:themeTint="F2"/>
                </w:rPr>
                <m:t>E</m:t>
              </m:r>
            </m:e>
            <m:sup>
              <m:r>
                <w:rPr>
                  <w:rFonts w:ascii="Cambria Math" w:hAnsi="Cambria Math"/>
                  <w:color w:val="0D0D0D" w:themeColor="text1" w:themeTint="F2"/>
                </w:rPr>
                <m:t>+</m:t>
              </m:r>
            </m:sup>
          </m:sSup>
          <m:r>
            <w:rPr>
              <w:rFonts w:ascii="Cambria Math" w:hAnsi="Cambria Math"/>
              <w:color w:val="0D0D0D" w:themeColor="text1" w:themeTint="F2"/>
            </w:rPr>
            <m:t>=</m:t>
          </m:r>
          <m:func>
            <m:funcPr>
              <m:ctrlPr>
                <w:rPr>
                  <w:rFonts w:ascii="Cambria Math" w:hAnsi="Cambria Math"/>
                  <w:i/>
                  <w:color w:val="0D0D0D" w:themeColor="text1" w:themeTint="F2"/>
                </w:rPr>
              </m:ctrlPr>
            </m:funcPr>
            <m:fName>
              <m:r>
                <m:rPr>
                  <m:sty m:val="p"/>
                </m:rPr>
                <w:rPr>
                  <w:rFonts w:ascii="Cambria Math" w:hAnsi="Cambria Math"/>
                  <w:color w:val="0D0D0D" w:themeColor="text1" w:themeTint="F2"/>
                </w:rPr>
                <m:t>max</m:t>
              </m:r>
            </m:fName>
            <m:e>
              <m:sSup>
                <m:sSupPr>
                  <m:ctrlPr>
                    <w:rPr>
                      <w:rFonts w:ascii="Cambria Math" w:hAnsi="Cambria Math"/>
                      <w:i/>
                      <w:color w:val="0D0D0D" w:themeColor="text1" w:themeTint="F2"/>
                    </w:rPr>
                  </m:ctrlPr>
                </m:sSupPr>
                <m:e>
                  <m:r>
                    <w:rPr>
                      <w:rFonts w:ascii="Cambria Math" w:hAnsi="Cambria Math"/>
                      <w:color w:val="0D0D0D" w:themeColor="text1" w:themeTint="F2"/>
                    </w:rPr>
                    <m:t>(V</m:t>
                  </m:r>
                </m:e>
                <m:sup>
                  <m:r>
                    <w:rPr>
                      <w:rFonts w:ascii="Cambria Math" w:hAnsi="Cambria Math"/>
                      <w:color w:val="0D0D0D" w:themeColor="text1" w:themeTint="F2"/>
                    </w:rPr>
                    <m:t>+</m:t>
                  </m:r>
                </m:sup>
              </m:sSup>
              <m:r>
                <w:rPr>
                  <w:rFonts w:ascii="Cambria Math" w:hAnsi="Cambria Math"/>
                  <w:color w:val="0D0D0D" w:themeColor="text1" w:themeTint="F2"/>
                </w:rPr>
                <m:t>-</m:t>
              </m:r>
              <m:sSub>
                <m:sSubPr>
                  <m:ctrlPr>
                    <w:rPr>
                      <w:rFonts w:ascii="Cambria Math" w:hAnsi="Cambria Math"/>
                      <w:i/>
                      <w:color w:val="0D0D0D" w:themeColor="text1" w:themeTint="F2"/>
                    </w:rPr>
                  </m:ctrlPr>
                </m:sSubPr>
                <m:e>
                  <m:r>
                    <w:rPr>
                      <w:rFonts w:ascii="Cambria Math" w:hAnsi="Cambria Math"/>
                      <w:color w:val="0D0D0D" w:themeColor="text1" w:themeTint="F2"/>
                    </w:rPr>
                    <m:t>I</m:t>
                  </m:r>
                </m:e>
                <m:sub>
                  <m:r>
                    <w:rPr>
                      <w:rFonts w:ascii="Cambria Math" w:hAnsi="Cambria Math"/>
                      <w:color w:val="0D0D0D" w:themeColor="text1" w:themeTint="F2"/>
                    </w:rPr>
                    <m:t>0</m:t>
                  </m:r>
                </m:sub>
              </m:sSub>
              <m:r>
                <w:rPr>
                  <w:rFonts w:ascii="Cambria Math" w:hAnsi="Cambria Math"/>
                  <w:color w:val="0D0D0D" w:themeColor="text1" w:themeTint="F2"/>
                </w:rPr>
                <m:t>,0)=</m:t>
              </m:r>
              <m:r>
                <m:rPr>
                  <m:sty m:val="p"/>
                </m:rPr>
                <w:rPr>
                  <w:rFonts w:ascii="Cambria Math" w:hAnsi="Cambria Math"/>
                  <w:color w:val="0D0D0D" w:themeColor="text1" w:themeTint="F2"/>
                </w:rPr>
                <m:t>max⁡</m:t>
              </m:r>
              <m:r>
                <w:rPr>
                  <w:rFonts w:ascii="Cambria Math" w:hAnsi="Cambria Math"/>
                  <w:color w:val="0D0D0D" w:themeColor="text1" w:themeTint="F2"/>
                </w:rPr>
                <m:t>(180-112.32,00=67.68)</m:t>
              </m:r>
            </m:e>
          </m:func>
        </m:oMath>
      </m:oMathPara>
    </w:p>
    <w:p w14:paraId="65A1E438" w14:textId="77777777" w:rsidR="00E428A7" w:rsidRPr="00BF7C23" w:rsidRDefault="000669BA" w:rsidP="00E428A7">
      <w:pPr>
        <w:spacing w:before="120" w:line="480" w:lineRule="auto"/>
        <w:rPr>
          <w:color w:val="0D0D0D" w:themeColor="text1" w:themeTint="F2"/>
        </w:rPr>
      </w:pPr>
      <m:oMath>
        <m:sSup>
          <m:sSupPr>
            <m:ctrlPr>
              <w:rPr>
                <w:rFonts w:ascii="Cambria Math" w:hAnsi="Cambria Math"/>
                <w:i/>
                <w:color w:val="0D0D0D" w:themeColor="text1" w:themeTint="F2"/>
              </w:rPr>
            </m:ctrlPr>
          </m:sSupPr>
          <m:e>
            <m:r>
              <w:rPr>
                <w:rFonts w:ascii="Cambria Math" w:hAnsi="Cambria Math"/>
                <w:color w:val="0D0D0D" w:themeColor="text1" w:themeTint="F2"/>
              </w:rPr>
              <m:t>E</m:t>
            </m:r>
          </m:e>
          <m:sup>
            <m:r>
              <w:rPr>
                <w:rFonts w:ascii="Cambria Math" w:hAnsi="Cambria Math"/>
                <w:color w:val="0D0D0D" w:themeColor="text1" w:themeTint="F2"/>
              </w:rPr>
              <m:t>-</m:t>
            </m:r>
          </m:sup>
        </m:sSup>
        <m:r>
          <w:rPr>
            <w:rFonts w:ascii="Cambria Math" w:hAnsi="Cambria Math"/>
            <w:color w:val="0D0D0D" w:themeColor="text1" w:themeTint="F2"/>
          </w:rPr>
          <m:t>=</m:t>
        </m:r>
        <m:func>
          <m:funcPr>
            <m:ctrlPr>
              <w:rPr>
                <w:rFonts w:ascii="Cambria Math" w:hAnsi="Cambria Math"/>
                <w:i/>
                <w:color w:val="0D0D0D" w:themeColor="text1" w:themeTint="F2"/>
              </w:rPr>
            </m:ctrlPr>
          </m:funcPr>
          <m:fName>
            <m:r>
              <m:rPr>
                <m:sty m:val="p"/>
              </m:rPr>
              <w:rPr>
                <w:rFonts w:ascii="Cambria Math" w:hAnsi="Cambria Math"/>
                <w:color w:val="0D0D0D" w:themeColor="text1" w:themeTint="F2"/>
              </w:rPr>
              <m:t>max</m:t>
            </m:r>
          </m:fName>
          <m:e>
            <m:sSup>
              <m:sSupPr>
                <m:ctrlPr>
                  <w:rPr>
                    <w:rFonts w:ascii="Cambria Math" w:hAnsi="Cambria Math"/>
                    <w:i/>
                    <w:color w:val="0D0D0D" w:themeColor="text1" w:themeTint="F2"/>
                  </w:rPr>
                </m:ctrlPr>
              </m:sSupPr>
              <m:e>
                <m:r>
                  <w:rPr>
                    <w:rFonts w:ascii="Cambria Math" w:hAnsi="Cambria Math"/>
                    <w:color w:val="0D0D0D" w:themeColor="text1" w:themeTint="F2"/>
                  </w:rPr>
                  <m:t>(V</m:t>
                </m:r>
              </m:e>
              <m:sup>
                <m:r>
                  <w:rPr>
                    <w:rFonts w:ascii="Cambria Math" w:hAnsi="Cambria Math"/>
                    <w:color w:val="0D0D0D" w:themeColor="text1" w:themeTint="F2"/>
                  </w:rPr>
                  <m:t>-</m:t>
                </m:r>
              </m:sup>
            </m:sSup>
            <m:r>
              <w:rPr>
                <w:rFonts w:ascii="Cambria Math" w:hAnsi="Cambria Math"/>
                <w:color w:val="0D0D0D" w:themeColor="text1" w:themeTint="F2"/>
              </w:rPr>
              <m:t>-</m:t>
            </m:r>
            <m:sSub>
              <m:sSubPr>
                <m:ctrlPr>
                  <w:rPr>
                    <w:rFonts w:ascii="Cambria Math" w:hAnsi="Cambria Math"/>
                    <w:i/>
                    <w:color w:val="0D0D0D" w:themeColor="text1" w:themeTint="F2"/>
                  </w:rPr>
                </m:ctrlPr>
              </m:sSubPr>
              <m:e>
                <m:r>
                  <w:rPr>
                    <w:rFonts w:ascii="Cambria Math" w:hAnsi="Cambria Math"/>
                    <w:color w:val="0D0D0D" w:themeColor="text1" w:themeTint="F2"/>
                  </w:rPr>
                  <m:t>I</m:t>
                </m:r>
              </m:e>
              <m:sub>
                <m:r>
                  <w:rPr>
                    <w:rFonts w:ascii="Cambria Math" w:hAnsi="Cambria Math"/>
                    <w:color w:val="0D0D0D" w:themeColor="text1" w:themeTint="F2"/>
                  </w:rPr>
                  <m:t>0</m:t>
                </m:r>
              </m:sub>
            </m:sSub>
            <m:r>
              <w:rPr>
                <w:rFonts w:ascii="Cambria Math" w:hAnsi="Cambria Math"/>
                <w:color w:val="0D0D0D" w:themeColor="text1" w:themeTint="F2"/>
              </w:rPr>
              <m:t>,0)=</m:t>
            </m:r>
            <m:r>
              <m:rPr>
                <m:sty m:val="p"/>
              </m:rPr>
              <w:rPr>
                <w:rFonts w:ascii="Cambria Math" w:hAnsi="Cambria Math"/>
                <w:color w:val="0D0D0D" w:themeColor="text1" w:themeTint="F2"/>
              </w:rPr>
              <m:t>max⁡</m:t>
            </m:r>
            <m:r>
              <w:rPr>
                <w:rFonts w:ascii="Cambria Math" w:hAnsi="Cambria Math"/>
                <w:color w:val="0D0D0D" w:themeColor="text1" w:themeTint="F2"/>
              </w:rPr>
              <m:t>(60)-112.32,0)=</m:t>
            </m:r>
          </m:e>
        </m:func>
      </m:oMath>
      <w:r w:rsidR="00E428A7" w:rsidRPr="00BF7C23">
        <w:rPr>
          <w:color w:val="0D0D0D" w:themeColor="text1" w:themeTint="F2"/>
        </w:rPr>
        <w:t>0</w:t>
      </w:r>
    </w:p>
    <w:p w14:paraId="0EBD37A6" w14:textId="77777777" w:rsidR="00E428A7" w:rsidRPr="00BF7C23" w:rsidRDefault="00E428A7" w:rsidP="00E428A7">
      <w:pPr>
        <w:spacing w:before="120" w:line="480" w:lineRule="auto"/>
        <w:rPr>
          <w:color w:val="0D0D0D" w:themeColor="text1" w:themeTint="F2"/>
        </w:rPr>
      </w:pPr>
      <w:r w:rsidRPr="00BF7C23">
        <w:rPr>
          <w:color w:val="0D0D0D" w:themeColor="text1" w:themeTint="F2"/>
        </w:rPr>
        <w:t xml:space="preserve">The above suggests by defer, </w:t>
      </w:r>
      <w:r w:rsidRPr="00BF7C23">
        <w:rPr>
          <w:i/>
          <w:color w:val="0D0D0D" w:themeColor="text1" w:themeTint="F2"/>
        </w:rPr>
        <w:t>I</w:t>
      </w:r>
      <w:r w:rsidRPr="00BF7C23">
        <w:rPr>
          <w:color w:val="0D0D0D" w:themeColor="text1" w:themeTint="F2"/>
          <w:vertAlign w:val="subscript"/>
        </w:rPr>
        <w:t xml:space="preserve">0 </w:t>
      </w:r>
      <w:r w:rsidRPr="00BF7C23">
        <w:rPr>
          <w:color w:val="0D0D0D" w:themeColor="text1" w:themeTint="F2"/>
        </w:rPr>
        <w:t xml:space="preserve">=104 growing at 8% to </w:t>
      </w:r>
      <w:r w:rsidRPr="00BF7C23">
        <w:rPr>
          <w:i/>
          <w:color w:val="0D0D0D" w:themeColor="text1" w:themeTint="F2"/>
        </w:rPr>
        <w:t>I</w:t>
      </w:r>
      <w:r w:rsidRPr="00BF7C23">
        <w:rPr>
          <w:color w:val="0D0D0D" w:themeColor="text1" w:themeTint="F2"/>
          <w:vertAlign w:val="subscript"/>
        </w:rPr>
        <w:t xml:space="preserve">1 </w:t>
      </w:r>
      <w:r>
        <w:rPr>
          <w:color w:val="0D0D0D" w:themeColor="text1" w:themeTint="F2"/>
        </w:rPr>
        <w:t>=</w:t>
      </w:r>
      <w:r w:rsidRPr="00BF7C23">
        <w:rPr>
          <w:color w:val="0D0D0D" w:themeColor="text1" w:themeTint="F2"/>
        </w:rPr>
        <w:t>112.32, and</w:t>
      </w:r>
    </w:p>
    <w:p w14:paraId="0C0CA616" w14:textId="77777777" w:rsidR="00E428A7" w:rsidRPr="00BF7C23" w:rsidRDefault="00E428A7" w:rsidP="00E428A7">
      <w:pPr>
        <w:spacing w:before="120" w:line="480" w:lineRule="auto"/>
        <w:rPr>
          <w:color w:val="0D0D0D" w:themeColor="text1" w:themeTint="F2"/>
        </w:rPr>
      </w:pPr>
      <m:oMath>
        <m:r>
          <w:rPr>
            <w:rFonts w:ascii="Cambria Math" w:hAnsi="Cambria Math"/>
            <w:color w:val="0D0D0D" w:themeColor="text1" w:themeTint="F2"/>
          </w:rPr>
          <m:t>p=</m:t>
        </m:r>
        <m:f>
          <m:fPr>
            <m:ctrlPr>
              <w:rPr>
                <w:rFonts w:ascii="Cambria Math" w:hAnsi="Cambria Math"/>
                <w:i/>
                <w:color w:val="0D0D0D" w:themeColor="text1" w:themeTint="F2"/>
              </w:rPr>
            </m:ctrlPr>
          </m:fPr>
          <m:num>
            <m:d>
              <m:dPr>
                <m:ctrlPr>
                  <w:rPr>
                    <w:rFonts w:ascii="Cambria Math" w:hAnsi="Cambria Math"/>
                    <w:i/>
                    <w:color w:val="0D0D0D" w:themeColor="text1" w:themeTint="F2"/>
                  </w:rPr>
                </m:ctrlPr>
              </m:dPr>
              <m:e>
                <m:r>
                  <w:rPr>
                    <w:rFonts w:ascii="Cambria Math" w:hAnsi="Cambria Math"/>
                    <w:color w:val="0D0D0D" w:themeColor="text1" w:themeTint="F2"/>
                  </w:rPr>
                  <m:t>1+r</m:t>
                </m:r>
              </m:e>
            </m:d>
            <m:sSup>
              <m:sSupPr>
                <m:ctrlPr>
                  <w:rPr>
                    <w:rFonts w:ascii="Cambria Math" w:hAnsi="Cambria Math"/>
                    <w:i/>
                    <w:color w:val="0D0D0D" w:themeColor="text1" w:themeTint="F2"/>
                  </w:rPr>
                </m:ctrlPr>
              </m:sSupPr>
              <m:e>
                <m:r>
                  <w:rPr>
                    <w:rFonts w:ascii="Cambria Math" w:hAnsi="Cambria Math"/>
                    <w:color w:val="0D0D0D" w:themeColor="text1" w:themeTint="F2"/>
                  </w:rPr>
                  <m:t>S</m:t>
                </m:r>
              </m:e>
              <m:sup>
                <m:r>
                  <w:rPr>
                    <w:rFonts w:ascii="Cambria Math" w:hAnsi="Cambria Math"/>
                    <w:color w:val="0D0D0D" w:themeColor="text1" w:themeTint="F2"/>
                  </w:rPr>
                  <m:t>+</m:t>
                </m:r>
              </m:sup>
            </m:sSup>
            <m:r>
              <w:rPr>
                <w:rFonts w:ascii="Cambria Math" w:hAnsi="Cambria Math"/>
                <w:color w:val="0D0D0D" w:themeColor="text1" w:themeTint="F2"/>
              </w:rPr>
              <m:t>-</m:t>
            </m:r>
            <m:sSup>
              <m:sSupPr>
                <m:ctrlPr>
                  <w:rPr>
                    <w:rFonts w:ascii="Cambria Math" w:hAnsi="Cambria Math"/>
                    <w:i/>
                    <w:color w:val="0D0D0D" w:themeColor="text1" w:themeTint="F2"/>
                  </w:rPr>
                </m:ctrlPr>
              </m:sSupPr>
              <m:e>
                <m:r>
                  <w:rPr>
                    <w:rFonts w:ascii="Cambria Math" w:hAnsi="Cambria Math"/>
                    <w:color w:val="0D0D0D" w:themeColor="text1" w:themeTint="F2"/>
                  </w:rPr>
                  <m:t>S</m:t>
                </m:r>
              </m:e>
              <m:sup>
                <m:r>
                  <w:rPr>
                    <w:rFonts w:ascii="Cambria Math" w:hAnsi="Cambria Math"/>
                    <w:color w:val="0D0D0D" w:themeColor="text1" w:themeTint="F2"/>
                  </w:rPr>
                  <m:t>-</m:t>
                </m:r>
              </m:sup>
            </m:sSup>
          </m:num>
          <m:den>
            <m:sSup>
              <m:sSupPr>
                <m:ctrlPr>
                  <w:rPr>
                    <w:rFonts w:ascii="Cambria Math" w:hAnsi="Cambria Math"/>
                    <w:i/>
                    <w:color w:val="0D0D0D" w:themeColor="text1" w:themeTint="F2"/>
                  </w:rPr>
                </m:ctrlPr>
              </m:sSupPr>
              <m:e>
                <m:r>
                  <w:rPr>
                    <w:rFonts w:ascii="Cambria Math" w:hAnsi="Cambria Math"/>
                    <w:color w:val="0D0D0D" w:themeColor="text1" w:themeTint="F2"/>
                  </w:rPr>
                  <m:t>S</m:t>
                </m:r>
              </m:e>
              <m:sup>
                <m:r>
                  <w:rPr>
                    <w:rFonts w:ascii="Cambria Math" w:hAnsi="Cambria Math"/>
                    <w:color w:val="0D0D0D" w:themeColor="text1" w:themeTint="F2"/>
                  </w:rPr>
                  <m:t>+</m:t>
                </m:r>
              </m:sup>
            </m:sSup>
            <m:r>
              <w:rPr>
                <w:rFonts w:ascii="Cambria Math" w:hAnsi="Cambria Math"/>
                <w:color w:val="0D0D0D" w:themeColor="text1" w:themeTint="F2"/>
              </w:rPr>
              <m:t>-</m:t>
            </m:r>
            <m:sSup>
              <m:sSupPr>
                <m:ctrlPr>
                  <w:rPr>
                    <w:rFonts w:ascii="Cambria Math" w:hAnsi="Cambria Math"/>
                    <w:i/>
                    <w:color w:val="0D0D0D" w:themeColor="text1" w:themeTint="F2"/>
                  </w:rPr>
                </m:ctrlPr>
              </m:sSupPr>
              <m:e>
                <m:r>
                  <w:rPr>
                    <w:rFonts w:ascii="Cambria Math" w:hAnsi="Cambria Math"/>
                    <w:color w:val="0D0D0D" w:themeColor="text1" w:themeTint="F2"/>
                  </w:rPr>
                  <m:t>S</m:t>
                </m:r>
              </m:e>
              <m:sup>
                <m:r>
                  <w:rPr>
                    <w:rFonts w:ascii="Cambria Math" w:hAnsi="Cambria Math"/>
                    <w:color w:val="0D0D0D" w:themeColor="text1" w:themeTint="F2"/>
                  </w:rPr>
                  <m:t>-</m:t>
                </m:r>
              </m:sup>
            </m:sSup>
          </m:den>
        </m:f>
        <m:r>
          <w:rPr>
            <w:rFonts w:ascii="Cambria Math" w:hAnsi="Cambria Math"/>
            <w:color w:val="0D0D0D" w:themeColor="text1" w:themeTint="F2"/>
          </w:rPr>
          <m:t>=0.4</m:t>
        </m:r>
      </m:oMath>
      <w:r>
        <w:rPr>
          <w:color w:val="0D0D0D" w:themeColor="text1" w:themeTint="F2"/>
        </w:rPr>
        <w:t>.</w:t>
      </w:r>
      <w:r w:rsidRPr="00BF7C23">
        <w:rPr>
          <w:color w:val="0D0D0D" w:themeColor="text1" w:themeTint="F2"/>
        </w:rPr>
        <w:t xml:space="preserve"> </w:t>
      </w:r>
    </w:p>
    <w:p w14:paraId="5C4C581B" w14:textId="77777777" w:rsidR="00E428A7" w:rsidRPr="00BF7C23" w:rsidRDefault="000669BA" w:rsidP="00E428A7">
      <w:pPr>
        <w:spacing w:before="120" w:line="480" w:lineRule="auto"/>
        <w:jc w:val="both"/>
        <w:rPr>
          <w:color w:val="0D0D0D" w:themeColor="text1" w:themeTint="F2"/>
        </w:rPr>
      </w:pPr>
      <m:oMathPara>
        <m:oMathParaPr>
          <m:jc m:val="left"/>
        </m:oMathParaPr>
        <m:oMath>
          <m:sSub>
            <m:sSubPr>
              <m:ctrlPr>
                <w:rPr>
                  <w:rFonts w:ascii="Cambria Math" w:hAnsi="Cambria Math"/>
                  <w:i/>
                  <w:color w:val="0D0D0D" w:themeColor="text1" w:themeTint="F2"/>
                </w:rPr>
              </m:ctrlPr>
            </m:sSubPr>
            <m:e>
              <m:r>
                <w:rPr>
                  <w:rFonts w:ascii="Cambria Math" w:hAnsi="Cambria Math"/>
                  <w:color w:val="0D0D0D" w:themeColor="text1" w:themeTint="F2"/>
                </w:rPr>
                <m:t>E</m:t>
              </m:r>
            </m:e>
            <m:sub>
              <m:r>
                <w:rPr>
                  <w:rFonts w:ascii="Cambria Math" w:hAnsi="Cambria Math"/>
                  <w:color w:val="0D0D0D" w:themeColor="text1" w:themeTint="F2"/>
                </w:rPr>
                <m:t>0</m:t>
              </m:r>
            </m:sub>
          </m:sSub>
          <m:r>
            <w:rPr>
              <w:rFonts w:ascii="Cambria Math" w:hAnsi="Cambria Math"/>
              <w:color w:val="0D0D0D" w:themeColor="text1" w:themeTint="F2"/>
            </w:rPr>
            <m:t>=</m:t>
          </m:r>
          <m:f>
            <m:fPr>
              <m:ctrlPr>
                <w:rPr>
                  <w:rFonts w:ascii="Cambria Math" w:hAnsi="Cambria Math"/>
                  <w:i/>
                  <w:color w:val="0D0D0D" w:themeColor="text1" w:themeTint="F2"/>
                </w:rPr>
              </m:ctrlPr>
            </m:fPr>
            <m:num>
              <m:r>
                <w:rPr>
                  <w:rFonts w:ascii="Cambria Math" w:hAnsi="Cambria Math"/>
                  <w:color w:val="0D0D0D" w:themeColor="text1" w:themeTint="F2"/>
                </w:rPr>
                <m:t>p</m:t>
              </m:r>
              <m:sSup>
                <m:sSupPr>
                  <m:ctrlPr>
                    <w:rPr>
                      <w:rFonts w:ascii="Cambria Math" w:hAnsi="Cambria Math"/>
                      <w:i/>
                      <w:color w:val="0D0D0D" w:themeColor="text1" w:themeTint="F2"/>
                    </w:rPr>
                  </m:ctrlPr>
                </m:sSupPr>
                <m:e>
                  <m:r>
                    <w:rPr>
                      <w:rFonts w:ascii="Cambria Math" w:hAnsi="Cambria Math"/>
                      <w:color w:val="0D0D0D" w:themeColor="text1" w:themeTint="F2"/>
                    </w:rPr>
                    <m:t>E</m:t>
                  </m:r>
                </m:e>
                <m:sup>
                  <m:r>
                    <w:rPr>
                      <w:rFonts w:ascii="Cambria Math" w:hAnsi="Cambria Math"/>
                      <w:color w:val="0D0D0D" w:themeColor="text1" w:themeTint="F2"/>
                    </w:rPr>
                    <m:t>+</m:t>
                  </m:r>
                </m:sup>
              </m:sSup>
              <m:d>
                <m:dPr>
                  <m:ctrlPr>
                    <w:rPr>
                      <w:rFonts w:ascii="Cambria Math" w:hAnsi="Cambria Math"/>
                      <w:i/>
                      <w:color w:val="0D0D0D" w:themeColor="text1" w:themeTint="F2"/>
                    </w:rPr>
                  </m:ctrlPr>
                </m:dPr>
                <m:e>
                  <m:r>
                    <w:rPr>
                      <w:rFonts w:ascii="Cambria Math" w:hAnsi="Cambria Math"/>
                      <w:color w:val="0D0D0D" w:themeColor="text1" w:themeTint="F2"/>
                    </w:rPr>
                    <m:t>1-p</m:t>
                  </m:r>
                </m:e>
              </m:d>
              <m:sSup>
                <m:sSupPr>
                  <m:ctrlPr>
                    <w:rPr>
                      <w:rFonts w:ascii="Cambria Math" w:hAnsi="Cambria Math"/>
                      <w:i/>
                      <w:color w:val="0D0D0D" w:themeColor="text1" w:themeTint="F2"/>
                    </w:rPr>
                  </m:ctrlPr>
                </m:sSupPr>
                <m:e>
                  <m:r>
                    <w:rPr>
                      <w:rFonts w:ascii="Cambria Math" w:hAnsi="Cambria Math"/>
                      <w:color w:val="0D0D0D" w:themeColor="text1" w:themeTint="F2"/>
                    </w:rPr>
                    <m:t>E</m:t>
                  </m:r>
                </m:e>
                <m:sup>
                  <m:r>
                    <w:rPr>
                      <w:rFonts w:ascii="Cambria Math" w:hAnsi="Cambria Math"/>
                      <w:color w:val="0D0D0D" w:themeColor="text1" w:themeTint="F2"/>
                    </w:rPr>
                    <m:t>-</m:t>
                  </m:r>
                </m:sup>
              </m:sSup>
              <m:r>
                <w:rPr>
                  <w:rFonts w:ascii="Cambria Math" w:hAnsi="Cambria Math"/>
                  <w:color w:val="0D0D0D" w:themeColor="text1" w:themeTint="F2"/>
                </w:rPr>
                <m:t>-</m:t>
              </m:r>
              <m:sSup>
                <m:sSupPr>
                  <m:ctrlPr>
                    <w:rPr>
                      <w:rFonts w:ascii="Cambria Math" w:hAnsi="Cambria Math"/>
                      <w:i/>
                      <w:color w:val="0D0D0D" w:themeColor="text1" w:themeTint="F2"/>
                    </w:rPr>
                  </m:ctrlPr>
                </m:sSupPr>
                <m:e>
                  <m:r>
                    <w:rPr>
                      <w:rFonts w:ascii="Cambria Math" w:hAnsi="Cambria Math"/>
                      <w:color w:val="0D0D0D" w:themeColor="text1" w:themeTint="F2"/>
                    </w:rPr>
                    <m:t>S</m:t>
                  </m:r>
                </m:e>
                <m:sup>
                  <m:r>
                    <w:rPr>
                      <w:rFonts w:ascii="Cambria Math" w:hAnsi="Cambria Math"/>
                      <w:color w:val="0D0D0D" w:themeColor="text1" w:themeTint="F2"/>
                    </w:rPr>
                    <m:t>-</m:t>
                  </m:r>
                </m:sup>
              </m:sSup>
            </m:num>
            <m:den>
              <m:r>
                <w:rPr>
                  <w:rFonts w:ascii="Cambria Math" w:hAnsi="Cambria Math"/>
                  <w:color w:val="0D0D0D" w:themeColor="text1" w:themeTint="F2"/>
                </w:rPr>
                <m:t>1+r</m:t>
              </m:r>
            </m:den>
          </m:f>
          <m:r>
            <w:rPr>
              <w:rFonts w:ascii="Cambria Math" w:hAnsi="Cambria Math"/>
              <w:color w:val="0D0D0D" w:themeColor="text1" w:themeTint="F2"/>
            </w:rPr>
            <m:t>=</m:t>
          </m:r>
          <m:f>
            <m:fPr>
              <m:ctrlPr>
                <w:rPr>
                  <w:rFonts w:ascii="Cambria Math" w:hAnsi="Cambria Math"/>
                  <w:i/>
                  <w:color w:val="0D0D0D" w:themeColor="text1" w:themeTint="F2"/>
                </w:rPr>
              </m:ctrlPr>
            </m:fPr>
            <m:num>
              <m:r>
                <w:rPr>
                  <w:rFonts w:ascii="Cambria Math" w:hAnsi="Cambria Math"/>
                  <w:color w:val="0D0D0D" w:themeColor="text1" w:themeTint="F2"/>
                </w:rPr>
                <m:t>0.4×67.68+0.6×0</m:t>
              </m:r>
            </m:num>
            <m:den>
              <m:r>
                <w:rPr>
                  <w:rFonts w:ascii="Cambria Math" w:hAnsi="Cambria Math"/>
                  <w:color w:val="0D0D0D" w:themeColor="text1" w:themeTint="F2"/>
                </w:rPr>
                <m:t>1+r</m:t>
              </m:r>
            </m:den>
          </m:f>
          <m:r>
            <w:rPr>
              <w:rFonts w:ascii="Cambria Math" w:hAnsi="Cambria Math"/>
              <w:color w:val="0D0D0D" w:themeColor="text1" w:themeTint="F2"/>
            </w:rPr>
            <m:t>=25.07</m:t>
          </m:r>
        </m:oMath>
      </m:oMathPara>
    </w:p>
    <w:p w14:paraId="2D5E3868" w14:textId="77777777" w:rsidR="00400810" w:rsidRDefault="00E428A7" w:rsidP="00E428A7">
      <w:pPr>
        <w:spacing w:before="120" w:line="480" w:lineRule="auto"/>
        <w:jc w:val="both"/>
        <w:rPr>
          <w:color w:val="0D0D0D" w:themeColor="text1" w:themeTint="F2"/>
        </w:rPr>
      </w:pPr>
      <w:r w:rsidRPr="00BF7C23">
        <w:rPr>
          <w:color w:val="0D0D0D" w:themeColor="text1" w:themeTint="F2"/>
        </w:rPr>
        <w:t xml:space="preserve">Thus, </w:t>
      </w:r>
      <w:r w:rsidR="00674473" w:rsidRPr="00BF7C23">
        <w:rPr>
          <w:color w:val="0D0D0D" w:themeColor="text1" w:themeTint="F2"/>
        </w:rPr>
        <w:t xml:space="preserve">Defer premium </w:t>
      </w:r>
      <w:r w:rsidRPr="00BF7C23">
        <w:rPr>
          <w:color w:val="0D0D0D" w:themeColor="text1" w:themeTint="F2"/>
        </w:rPr>
        <w:t>=25.07-(-4)</w:t>
      </w:r>
      <w:r w:rsidR="00674473">
        <w:rPr>
          <w:color w:val="0D0D0D" w:themeColor="text1" w:themeTint="F2"/>
        </w:rPr>
        <w:t xml:space="preserve"> </w:t>
      </w:r>
      <w:r w:rsidRPr="00BF7C23">
        <w:rPr>
          <w:color w:val="0D0D0D" w:themeColor="text1" w:themeTint="F2"/>
        </w:rPr>
        <w:t>= 29.07</w:t>
      </w:r>
      <w:r>
        <w:rPr>
          <w:color w:val="0D0D0D" w:themeColor="text1" w:themeTint="F2"/>
        </w:rPr>
        <w:t xml:space="preserve"> (million).</w:t>
      </w:r>
      <w:r w:rsidR="00601906">
        <w:rPr>
          <w:color w:val="0D0D0D" w:themeColor="text1" w:themeTint="F2"/>
        </w:rPr>
        <w:t xml:space="preserve"> </w:t>
      </w:r>
    </w:p>
    <w:p w14:paraId="44A568FE" w14:textId="46AE66E9" w:rsidR="00E428A7" w:rsidRPr="00AE6602" w:rsidRDefault="00674473" w:rsidP="00AE6602">
      <w:pPr>
        <w:spacing w:before="120" w:line="480" w:lineRule="auto"/>
        <w:ind w:firstLine="284"/>
        <w:jc w:val="both"/>
        <w:rPr>
          <w:color w:val="0D0D0D" w:themeColor="text1" w:themeTint="F2"/>
        </w:rPr>
      </w:pPr>
      <w:r>
        <w:rPr>
          <w:color w:val="0D0D0D" w:themeColor="text1" w:themeTint="F2"/>
        </w:rPr>
        <w:t>B</w:t>
      </w:r>
      <w:r w:rsidR="00E428A7" w:rsidRPr="00BF7C23">
        <w:rPr>
          <w:color w:val="0D0D0D" w:themeColor="text1" w:themeTint="F2"/>
        </w:rPr>
        <w:t>ased on the above mode</w:t>
      </w:r>
      <w:r w:rsidR="00E428A7" w:rsidRPr="006610D7">
        <w:rPr>
          <w:color w:val="000000" w:themeColor="text1"/>
        </w:rPr>
        <w:t>lling</w:t>
      </w:r>
      <w:r w:rsidR="00E428A7">
        <w:rPr>
          <w:color w:val="000000" w:themeColor="text1"/>
        </w:rPr>
        <w:t xml:space="preserve">, </w:t>
      </w:r>
      <w:r w:rsidR="00E428A7" w:rsidRPr="006610D7">
        <w:rPr>
          <w:color w:val="000000" w:themeColor="text1"/>
        </w:rPr>
        <w:t>Project A</w:t>
      </w:r>
      <w:r w:rsidR="00F35476">
        <w:rPr>
          <w:color w:val="000000" w:themeColor="text1"/>
        </w:rPr>
        <w:t xml:space="preserve"> </w:t>
      </w:r>
      <w:r w:rsidR="00E428A7" w:rsidRPr="006610D7">
        <w:rPr>
          <w:color w:val="000000" w:themeColor="text1"/>
        </w:rPr>
        <w:t>to defer is significant</w:t>
      </w:r>
      <w:r w:rsidR="00400810">
        <w:rPr>
          <w:color w:val="000000" w:themeColor="text1"/>
        </w:rPr>
        <w:t xml:space="preserve"> and i</w:t>
      </w:r>
      <w:r w:rsidR="00F35476">
        <w:rPr>
          <w:color w:val="000000" w:themeColor="text1"/>
        </w:rPr>
        <w:t xml:space="preserve">t </w:t>
      </w:r>
      <w:r>
        <w:rPr>
          <w:color w:val="000000" w:themeColor="text1"/>
        </w:rPr>
        <w:t>is</w:t>
      </w:r>
      <w:r w:rsidR="00E428A7" w:rsidRPr="006610D7">
        <w:rPr>
          <w:color w:val="000000" w:themeColor="text1"/>
        </w:rPr>
        <w:t xml:space="preserve"> optimal to defer</w:t>
      </w:r>
      <w:r w:rsidR="00400810">
        <w:rPr>
          <w:color w:val="000000" w:themeColor="text1"/>
        </w:rPr>
        <w:t>.</w:t>
      </w:r>
      <w:r>
        <w:rPr>
          <w:color w:val="000000" w:themeColor="text1"/>
        </w:rPr>
        <w:t xml:space="preserve"> H1 is supported</w:t>
      </w:r>
      <w:r w:rsidR="00F75C06">
        <w:rPr>
          <w:color w:val="000000" w:themeColor="text1"/>
        </w:rPr>
        <w:t xml:space="preserve"> because </w:t>
      </w:r>
      <w:r w:rsidR="00F75C06" w:rsidRPr="0022787D">
        <w:rPr>
          <w:i/>
          <w:iCs/>
        </w:rPr>
        <w:t>Project</w:t>
      </w:r>
      <w:r w:rsidR="00F75C06">
        <w:rPr>
          <w:i/>
          <w:iCs/>
        </w:rPr>
        <w:t xml:space="preserve"> A obtains</w:t>
      </w:r>
      <w:r w:rsidR="00F75C06" w:rsidRPr="00F75C06">
        <w:rPr>
          <w:i/>
          <w:iCs/>
          <w:color w:val="0D0D0D" w:themeColor="text1" w:themeTint="F2"/>
        </w:rPr>
        <w:t xml:space="preserve"> </w:t>
      </w:r>
      <w:r w:rsidR="00F75C06">
        <w:rPr>
          <w:i/>
          <w:iCs/>
          <w:color w:val="0D0D0D" w:themeColor="text1" w:themeTint="F2"/>
        </w:rPr>
        <w:t>the positive equilibrium of d</w:t>
      </w:r>
      <w:r w:rsidR="00F75C06" w:rsidRPr="0022787D">
        <w:rPr>
          <w:i/>
          <w:iCs/>
          <w:color w:val="0D0D0D" w:themeColor="text1" w:themeTint="F2"/>
        </w:rPr>
        <w:t>efer premium</w:t>
      </w:r>
      <w:r w:rsidR="00F75C06">
        <w:rPr>
          <w:i/>
          <w:iCs/>
          <w:color w:val="0D0D0D" w:themeColor="text1" w:themeTint="F2"/>
        </w:rPr>
        <w:t>.</w:t>
      </w:r>
    </w:p>
    <w:p w14:paraId="24AB4E76" w14:textId="473FAD23" w:rsidR="00E428A7" w:rsidRPr="00B8044A" w:rsidRDefault="006C25EF" w:rsidP="00AE6602">
      <w:pPr>
        <w:autoSpaceDE w:val="0"/>
        <w:autoSpaceDN w:val="0"/>
        <w:adjustRightInd w:val="0"/>
        <w:spacing w:before="120" w:line="480" w:lineRule="auto"/>
        <w:ind w:firstLine="284"/>
        <w:jc w:val="both"/>
      </w:pPr>
      <w:r>
        <w:t xml:space="preserve">With respect to Project B, we identified </w:t>
      </w:r>
      <w:r w:rsidR="00E428A7">
        <w:t>the project value</w:t>
      </w:r>
      <w:r>
        <w:t xml:space="preserve"> for the excise </w:t>
      </w:r>
      <w:r w:rsidR="00E428A7">
        <w:t xml:space="preserve">£ (million) </w:t>
      </w:r>
      <w:r w:rsidR="00E428A7" w:rsidRPr="00402F96">
        <w:rPr>
          <w:i/>
          <w:iCs/>
        </w:rPr>
        <w:t>V</w:t>
      </w:r>
      <w:r w:rsidR="00E428A7">
        <w:t>= 368, and project investment is,</w:t>
      </w:r>
      <w:r w:rsidR="00E428A7" w:rsidRPr="00402F96">
        <w:rPr>
          <w:i/>
          <w:iCs/>
        </w:rPr>
        <w:t xml:space="preserve"> </w:t>
      </w:r>
      <w:r w:rsidR="00E428A7">
        <w:rPr>
          <w:i/>
          <w:iCs/>
        </w:rPr>
        <w:t>K</w:t>
      </w:r>
      <w:r w:rsidR="00E428A7" w:rsidRPr="00AB2B15">
        <w:rPr>
          <w:vertAlign w:val="subscript"/>
        </w:rPr>
        <w:t>1</w:t>
      </w:r>
      <w:r w:rsidR="00E428A7">
        <w:t xml:space="preserve"> = 62 and </w:t>
      </w:r>
      <w:r w:rsidR="00E428A7">
        <w:rPr>
          <w:i/>
          <w:iCs/>
        </w:rPr>
        <w:t>K</w:t>
      </w:r>
      <w:r w:rsidR="00E428A7">
        <w:rPr>
          <w:vertAlign w:val="subscript"/>
        </w:rPr>
        <w:t>2</w:t>
      </w:r>
      <w:r w:rsidR="00E428A7">
        <w:t xml:space="preserve"> = 350 (e.g., investments in </w:t>
      </w:r>
      <w:r w:rsidR="00E428A7">
        <w:rPr>
          <w:bCs/>
        </w:rPr>
        <w:t>Oxford-AstraZeneca</w:t>
      </w:r>
      <w:r w:rsidR="00E428A7" w:rsidRPr="00B8044A">
        <w:t>,</w:t>
      </w:r>
      <w:r w:rsidR="00E428A7">
        <w:t xml:space="preserve"> or investments in Serum Institute India for production licencing). </w:t>
      </w:r>
      <w:r>
        <w:t xml:space="preserve">Where </w:t>
      </w:r>
      <w:r w:rsidR="00E428A7">
        <w:t xml:space="preserve">the government sector </w:t>
      </w:r>
      <w:r>
        <w:t>also</w:t>
      </w:r>
      <w:r w:rsidR="00E428A7" w:rsidRPr="0014184E">
        <w:t xml:space="preserve"> </w:t>
      </w:r>
      <w:r w:rsidR="00601906" w:rsidRPr="0014184E">
        <w:t>chose</w:t>
      </w:r>
      <w:r w:rsidR="00601906">
        <w:t>n</w:t>
      </w:r>
      <w:r w:rsidR="00E428A7" w:rsidRPr="0014184E">
        <w:t xml:space="preserve"> to forgo </w:t>
      </w:r>
      <w:r>
        <w:t>as</w:t>
      </w:r>
      <w:r w:rsidR="00E428A7" w:rsidRPr="0014184E">
        <w:t xml:space="preserve"> planned investments (</w:t>
      </w:r>
      <w:r w:rsidR="00E428A7" w:rsidRPr="0014184E">
        <w:rPr>
          <w:i/>
          <w:iCs/>
        </w:rPr>
        <w:t>I</w:t>
      </w:r>
      <w:r w:rsidR="00E428A7" w:rsidRPr="0014184E">
        <w:rPr>
          <w:vertAlign w:val="subscript"/>
        </w:rPr>
        <w:t>2</w:t>
      </w:r>
      <w:r w:rsidR="00E428A7" w:rsidRPr="0014184E">
        <w:t xml:space="preserve">). At this stage </w:t>
      </w:r>
      <w:r w:rsidR="00E428A7">
        <w:t>the government sector</w:t>
      </w:r>
      <w:r w:rsidR="00E428A7" w:rsidRPr="0014184E">
        <w:t xml:space="preserve"> reduce</w:t>
      </w:r>
      <w:r>
        <w:t>d</w:t>
      </w:r>
      <w:r w:rsidR="00E428A7" w:rsidRPr="0014184E">
        <w:t xml:space="preserve"> the</w:t>
      </w:r>
      <w:r w:rsidR="00E428A7">
        <w:t xml:space="preserve"> </w:t>
      </w:r>
      <w:r w:rsidR="00E428A7" w:rsidRPr="0014184E">
        <w:t xml:space="preserve">scale by </w:t>
      </w:r>
      <w:r w:rsidR="00E428A7" w:rsidRPr="0002725A">
        <w:rPr>
          <w:i/>
          <w:iCs/>
        </w:rPr>
        <w:t>c</w:t>
      </w:r>
      <w:r w:rsidR="00E428A7" w:rsidRPr="0014184E">
        <w:t xml:space="preserve">%, </w:t>
      </w:r>
      <w:r w:rsidR="00E428A7">
        <w:t xml:space="preserve">such as production scales and facilities of cost </w:t>
      </w:r>
      <w:r w:rsidR="00E428A7" w:rsidRPr="0014184E">
        <w:t>(</w:t>
      </w:r>
      <w:proofErr w:type="spellStart"/>
      <w:r w:rsidR="00E428A7" w:rsidRPr="0014184E">
        <w:rPr>
          <w:i/>
          <w:iCs/>
        </w:rPr>
        <w:t>I</w:t>
      </w:r>
      <w:r w:rsidR="00E428A7" w:rsidRPr="0014184E">
        <w:rPr>
          <w:vertAlign w:val="subscript"/>
        </w:rPr>
        <w:t>c</w:t>
      </w:r>
      <w:proofErr w:type="spellEnd"/>
      <w:r w:rsidR="00E428A7" w:rsidRPr="0014184E">
        <w:t>)</w:t>
      </w:r>
      <w:r>
        <w:t>, as indicated earlier (Figure2)</w:t>
      </w:r>
      <w:r w:rsidR="00E428A7" w:rsidRPr="0014184E">
        <w:t xml:space="preserve">. </w:t>
      </w:r>
      <w:r w:rsidR="00E428A7">
        <w:t xml:space="preserve">For expansion, </w:t>
      </w:r>
      <w:r w:rsidR="00E428A7" w:rsidRPr="008B6435">
        <w:rPr>
          <w:i/>
          <w:iCs/>
        </w:rPr>
        <w:t>E</w:t>
      </w:r>
      <w:r w:rsidR="00E428A7">
        <w:t>, t</w:t>
      </w:r>
      <w:r w:rsidR="00E428A7" w:rsidRPr="00B8044A">
        <w:t>hat is,</w:t>
      </w:r>
    </w:p>
    <w:p w14:paraId="5AEDD6D6" w14:textId="77777777" w:rsidR="00E428A7" w:rsidRPr="00B8044A" w:rsidRDefault="0010515D" w:rsidP="00E428A7">
      <w:pPr>
        <w:autoSpaceDE w:val="0"/>
        <w:autoSpaceDN w:val="0"/>
        <w:adjustRightInd w:val="0"/>
        <w:spacing w:before="120" w:line="480" w:lineRule="auto"/>
        <w:jc w:val="both"/>
      </w:pPr>
      <w:r w:rsidRPr="00F44633">
        <w:rPr>
          <w:noProof/>
          <w:position w:val="-30"/>
        </w:rPr>
        <w:object w:dxaOrig="2320" w:dyaOrig="720" w14:anchorId="7C818E7B">
          <v:shape id="_x0000_i1071" type="#_x0000_t75" alt="" style="width:116.2pt;height:38.15pt;mso-width-percent:0;mso-height-percent:0;mso-width-percent:0;mso-height-percent:0" o:ole="">
            <v:imagedata r:id="rId98" o:title=""/>
          </v:shape>
          <o:OLEObject Type="Embed" ProgID="Equation.3" ShapeID="_x0000_i1071" DrawAspect="Content" ObjectID="_1712048748" r:id="rId99"/>
        </w:object>
      </w:r>
    </w:p>
    <w:p w14:paraId="7157C501" w14:textId="645CF50F" w:rsidR="00E428A7" w:rsidRDefault="00E428A7" w:rsidP="00E428A7">
      <w:pPr>
        <w:autoSpaceDE w:val="0"/>
        <w:autoSpaceDN w:val="0"/>
        <w:adjustRightInd w:val="0"/>
        <w:spacing w:before="120" w:line="480" w:lineRule="auto"/>
        <w:jc w:val="both"/>
      </w:pPr>
      <w:r w:rsidRPr="00B8044A">
        <w:t>The value of the investment opportunity, including the value of the option to expand</w:t>
      </w:r>
      <w:r>
        <w:t xml:space="preserve"> </w:t>
      </w:r>
      <w:r w:rsidRPr="00B8044A">
        <w:t>then bec</w:t>
      </w:r>
      <w:r w:rsidR="006C25EF">
        <w:t>a</w:t>
      </w:r>
      <w:r w:rsidRPr="00B8044A">
        <w:t xml:space="preserve">me </w:t>
      </w:r>
    </w:p>
    <w:p w14:paraId="4F2D9B78" w14:textId="77777777" w:rsidR="00E428A7" w:rsidRPr="00D80E45" w:rsidRDefault="000669BA" w:rsidP="00E428A7">
      <w:pPr>
        <w:autoSpaceDE w:val="0"/>
        <w:autoSpaceDN w:val="0"/>
        <w:adjustRightInd w:val="0"/>
        <w:spacing w:before="120" w:line="480" w:lineRule="auto"/>
        <w:jc w:val="both"/>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p</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sup>
              </m:sSup>
              <m:d>
                <m:dPr>
                  <m:ctrlPr>
                    <w:rPr>
                      <w:rFonts w:ascii="Cambria Math" w:hAnsi="Cambria Math"/>
                      <w:i/>
                      <w:color w:val="000000" w:themeColor="text1"/>
                    </w:rPr>
                  </m:ctrlPr>
                </m:dPr>
                <m:e>
                  <m:r>
                    <w:rPr>
                      <w:rFonts w:ascii="Cambria Math" w:hAnsi="Cambria Math"/>
                      <w:color w:val="000000" w:themeColor="text1"/>
                    </w:rPr>
                    <m:t>1-p</m:t>
                  </m:r>
                </m:e>
              </m:d>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sup>
              </m:sSup>
            </m:num>
            <m:den>
              <m:r>
                <w:rPr>
                  <w:rFonts w:ascii="Cambria Math" w:hAnsi="Cambria Math"/>
                  <w:color w:val="000000" w:themeColor="text1"/>
                </w:rPr>
                <m:t>1+r</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0</m:t>
              </m:r>
            </m:sub>
          </m:sSub>
        </m:oMath>
      </m:oMathPara>
    </w:p>
    <w:p w14:paraId="5C89DCDB" w14:textId="77777777" w:rsidR="00F034C0" w:rsidRDefault="00E428A7" w:rsidP="00E428A7">
      <w:pPr>
        <w:spacing w:before="120" w:line="480" w:lineRule="auto"/>
        <w:ind w:firstLine="284"/>
        <w:jc w:val="both"/>
        <w:rPr>
          <w:color w:val="000000" w:themeColor="text1"/>
        </w:rPr>
      </w:pPr>
      <w:r w:rsidRPr="00C03FEB">
        <w:rPr>
          <w:color w:val="000000" w:themeColor="text1"/>
        </w:rPr>
        <w:t xml:space="preserve"> Project B expansion ha</w:t>
      </w:r>
      <w:r w:rsidR="00601906">
        <w:rPr>
          <w:color w:val="000000" w:themeColor="text1"/>
        </w:rPr>
        <w:t xml:space="preserve">d </w:t>
      </w:r>
      <w:r w:rsidRPr="00C03FEB">
        <w:rPr>
          <w:color w:val="000000" w:themeColor="text1"/>
        </w:rPr>
        <w:t xml:space="preserve">the following inputs: </w:t>
      </w:r>
      <w:r w:rsidRPr="00C03FEB">
        <w:rPr>
          <w:color w:val="000000" w:themeColor="text1"/>
          <w:vertAlign w:val="subscript"/>
        </w:rPr>
        <w:t>E</w:t>
      </w:r>
      <w:r w:rsidRPr="00C03FEB">
        <w:rPr>
          <w:i/>
          <w:color w:val="000000" w:themeColor="text1"/>
        </w:rPr>
        <w:t>V</w:t>
      </w:r>
      <w:r w:rsidRPr="00C03FEB">
        <w:rPr>
          <w:color w:val="000000" w:themeColor="text1"/>
          <w:vertAlign w:val="subscript"/>
        </w:rPr>
        <w:t xml:space="preserve">0 </w:t>
      </w:r>
      <w:r w:rsidRPr="00C03FEB">
        <w:rPr>
          <w:color w:val="000000" w:themeColor="text1"/>
        </w:rPr>
        <w:t xml:space="preserve">= 368, </w:t>
      </w:r>
      <w:r w:rsidRPr="00C03FEB">
        <w:rPr>
          <w:i/>
          <w:color w:val="000000" w:themeColor="text1"/>
        </w:rPr>
        <w:t>K</w:t>
      </w:r>
      <w:r w:rsidRPr="00C03FEB">
        <w:rPr>
          <w:color w:val="000000" w:themeColor="text1"/>
          <w:vertAlign w:val="subscript"/>
        </w:rPr>
        <w:t>1</w:t>
      </w:r>
      <w:r w:rsidRPr="00C03FEB">
        <w:rPr>
          <w:color w:val="000000" w:themeColor="text1"/>
        </w:rPr>
        <w:t xml:space="preserve"> = 62, </w:t>
      </w:r>
      <w:r w:rsidRPr="00C03FEB">
        <w:rPr>
          <w:i/>
          <w:color w:val="000000" w:themeColor="text1"/>
        </w:rPr>
        <w:t>K</w:t>
      </w:r>
      <w:r w:rsidRPr="00C03FEB">
        <w:rPr>
          <w:color w:val="000000" w:themeColor="text1"/>
          <w:vertAlign w:val="subscript"/>
        </w:rPr>
        <w:t>2</w:t>
      </w:r>
      <w:r w:rsidRPr="00C03FEB">
        <w:rPr>
          <w:color w:val="000000" w:themeColor="text1"/>
        </w:rPr>
        <w:t xml:space="preserve"> = 350, </w:t>
      </w:r>
      <w:r w:rsidRPr="00C03FEB">
        <w:rPr>
          <w:i/>
          <w:iCs/>
          <w:color w:val="000000" w:themeColor="text1"/>
        </w:rPr>
        <w:t>T</w:t>
      </w:r>
      <w:r w:rsidRPr="00C03FEB">
        <w:rPr>
          <w:color w:val="000000" w:themeColor="text1"/>
          <w:vertAlign w:val="subscript"/>
        </w:rPr>
        <w:t>1</w:t>
      </w:r>
      <w:r w:rsidRPr="00C03FEB">
        <w:rPr>
          <w:color w:val="000000" w:themeColor="text1"/>
        </w:rPr>
        <w:t xml:space="preserve"> = 12 months, </w:t>
      </w:r>
      <w:r w:rsidRPr="00C03FEB">
        <w:rPr>
          <w:i/>
          <w:iCs/>
          <w:color w:val="000000" w:themeColor="text1"/>
        </w:rPr>
        <w:t>T</w:t>
      </w:r>
      <w:r w:rsidRPr="00C03FEB">
        <w:rPr>
          <w:color w:val="000000" w:themeColor="text1"/>
          <w:vertAlign w:val="subscript"/>
        </w:rPr>
        <w:t>2</w:t>
      </w:r>
      <w:r w:rsidRPr="00C03FEB">
        <w:rPr>
          <w:color w:val="000000" w:themeColor="text1"/>
        </w:rPr>
        <w:t xml:space="preserve"> = 24 months, </w:t>
      </w:r>
      <w:r w:rsidRPr="00C03FEB">
        <w:rPr>
          <w:i/>
          <w:color w:val="000000" w:themeColor="text1"/>
        </w:rPr>
        <w:t>r</w:t>
      </w:r>
      <w:r w:rsidRPr="00C03FEB">
        <w:rPr>
          <w:color w:val="000000" w:themeColor="text1"/>
        </w:rPr>
        <w:t xml:space="preserve"> = 4%, </w:t>
      </w:r>
      <w:r w:rsidR="0010515D" w:rsidRPr="00C03FEB">
        <w:rPr>
          <w:noProof/>
          <w:color w:val="000000" w:themeColor="text1"/>
          <w:position w:val="-6"/>
        </w:rPr>
        <w:object w:dxaOrig="200" w:dyaOrig="200" w14:anchorId="67EB5D9C">
          <v:shape id="_x0000_i1072" type="#_x0000_t75" alt="" style="width:12.85pt;height:12.85pt;mso-width-percent:0;mso-height-percent:0;mso-width-percent:0;mso-height-percent:0" o:ole="">
            <v:imagedata r:id="rId19" o:title=""/>
          </v:shape>
          <o:OLEObject Type="Embed" ProgID="Equation.3" ShapeID="_x0000_i1072" DrawAspect="Content" ObjectID="_1712048749" r:id="rId100"/>
        </w:object>
      </w:r>
      <w:r w:rsidRPr="00C03FEB">
        <w:rPr>
          <w:color w:val="000000" w:themeColor="text1"/>
        </w:rPr>
        <w:t xml:space="preserve"> = 22%.  Then the option value for Project A is </w:t>
      </w:r>
      <w:r w:rsidRPr="00C03FEB">
        <w:rPr>
          <w:color w:val="000000" w:themeColor="text1"/>
          <w:vertAlign w:val="subscript"/>
        </w:rPr>
        <w:t>A</w:t>
      </w:r>
      <w:r w:rsidRPr="00C03FEB">
        <w:rPr>
          <w:i/>
          <w:color w:val="000000" w:themeColor="text1"/>
        </w:rPr>
        <w:t>C</w:t>
      </w:r>
      <w:r w:rsidRPr="00C03FEB">
        <w:rPr>
          <w:color w:val="000000" w:themeColor="text1"/>
          <w:vertAlign w:val="subscript"/>
        </w:rPr>
        <w:t xml:space="preserve">0 </w:t>
      </w:r>
      <w:r w:rsidRPr="00C03FEB">
        <w:rPr>
          <w:color w:val="000000" w:themeColor="text1"/>
        </w:rPr>
        <w:t>=</w:t>
      </w:r>
      <w:r w:rsidRPr="00C03FEB">
        <w:rPr>
          <w:color w:val="000000" w:themeColor="text1"/>
          <w:vertAlign w:val="subscript"/>
        </w:rPr>
        <w:t xml:space="preserve"> </w:t>
      </w:r>
      <w:r w:rsidRPr="00C03FEB">
        <w:rPr>
          <w:color w:val="000000" w:themeColor="text1"/>
        </w:rPr>
        <w:t xml:space="preserve">46.21 and the option for Project B is </w:t>
      </w:r>
      <w:r w:rsidRPr="00C03FEB">
        <w:rPr>
          <w:color w:val="000000" w:themeColor="text1"/>
          <w:vertAlign w:val="subscript"/>
        </w:rPr>
        <w:t>B</w:t>
      </w:r>
      <w:r w:rsidRPr="00C03FEB">
        <w:rPr>
          <w:i/>
          <w:color w:val="000000" w:themeColor="text1"/>
        </w:rPr>
        <w:t>C</w:t>
      </w:r>
      <w:r w:rsidRPr="00C03FEB">
        <w:rPr>
          <w:color w:val="000000" w:themeColor="text1"/>
          <w:vertAlign w:val="subscript"/>
        </w:rPr>
        <w:t xml:space="preserve">0 </w:t>
      </w:r>
      <w:r w:rsidRPr="00C03FEB">
        <w:rPr>
          <w:color w:val="000000" w:themeColor="text1"/>
        </w:rPr>
        <w:t>=</w:t>
      </w:r>
      <w:r w:rsidRPr="00C03FEB">
        <w:rPr>
          <w:color w:val="000000" w:themeColor="text1"/>
          <w:vertAlign w:val="subscript"/>
        </w:rPr>
        <w:t xml:space="preserve"> </w:t>
      </w:r>
      <w:r w:rsidRPr="00C03FEB">
        <w:rPr>
          <w:color w:val="000000" w:themeColor="text1"/>
        </w:rPr>
        <w:t>149</w:t>
      </w:r>
      <w:r w:rsidR="00601906">
        <w:rPr>
          <w:color w:val="000000" w:themeColor="text1"/>
        </w:rPr>
        <w:t xml:space="preserve">, where </w:t>
      </w:r>
      <w:r w:rsidRPr="00C03FEB">
        <w:rPr>
          <w:color w:val="000000" w:themeColor="text1"/>
        </w:rPr>
        <w:t>FNVP</w:t>
      </w:r>
      <w:r w:rsidR="00601906">
        <w:rPr>
          <w:color w:val="000000" w:themeColor="text1"/>
        </w:rPr>
        <w:t xml:space="preserve"> was </w:t>
      </w:r>
      <w:r w:rsidRPr="00C03FEB">
        <w:rPr>
          <w:color w:val="000000" w:themeColor="text1"/>
        </w:rPr>
        <w:t>(</w:t>
      </w:r>
      <w:r w:rsidRPr="00C03FEB">
        <w:rPr>
          <w:color w:val="000000" w:themeColor="text1"/>
          <w:vertAlign w:val="subscript"/>
        </w:rPr>
        <w:t>A</w:t>
      </w:r>
      <w:r w:rsidRPr="00C03FEB">
        <w:rPr>
          <w:i/>
          <w:color w:val="000000" w:themeColor="text1"/>
        </w:rPr>
        <w:t>C</w:t>
      </w:r>
      <w:r w:rsidRPr="00C03FEB">
        <w:rPr>
          <w:color w:val="000000" w:themeColor="text1"/>
          <w:vertAlign w:val="subscript"/>
        </w:rPr>
        <w:t xml:space="preserve">0 </w:t>
      </w:r>
      <w:r w:rsidRPr="00C03FEB">
        <w:rPr>
          <w:color w:val="000000" w:themeColor="text1"/>
        </w:rPr>
        <w:t xml:space="preserve">+ </w:t>
      </w:r>
      <w:r w:rsidRPr="00C03FEB">
        <w:rPr>
          <w:color w:val="000000" w:themeColor="text1"/>
          <w:vertAlign w:val="subscript"/>
        </w:rPr>
        <w:t>B</w:t>
      </w:r>
      <w:r w:rsidRPr="00C03FEB">
        <w:rPr>
          <w:i/>
          <w:color w:val="000000" w:themeColor="text1"/>
        </w:rPr>
        <w:t>C</w:t>
      </w:r>
      <w:r w:rsidRPr="00C03FEB">
        <w:rPr>
          <w:color w:val="000000" w:themeColor="text1"/>
          <w:vertAlign w:val="subscript"/>
        </w:rPr>
        <w:t>0</w:t>
      </w:r>
      <w:r w:rsidRPr="00C03FEB">
        <w:rPr>
          <w:color w:val="000000" w:themeColor="text1"/>
        </w:rPr>
        <w:t>)-</w:t>
      </w:r>
      <w:r w:rsidRPr="00C03FEB">
        <w:rPr>
          <w:color w:val="000000" w:themeColor="text1"/>
          <w:vertAlign w:val="subscript"/>
        </w:rPr>
        <w:t>A</w:t>
      </w:r>
      <w:r w:rsidRPr="00C03FEB">
        <w:rPr>
          <w:i/>
          <w:color w:val="000000" w:themeColor="text1"/>
        </w:rPr>
        <w:t>C</w:t>
      </w:r>
      <w:r w:rsidRPr="00C03FEB">
        <w:rPr>
          <w:color w:val="000000" w:themeColor="text1"/>
          <w:vertAlign w:val="subscript"/>
        </w:rPr>
        <w:t xml:space="preserve">B. </w:t>
      </w:r>
      <w:r w:rsidRPr="00C03FEB">
        <w:rPr>
          <w:color w:val="000000" w:themeColor="text1"/>
        </w:rPr>
        <w:t xml:space="preserve"> The value of </w:t>
      </w:r>
      <w:r>
        <w:rPr>
          <w:color w:val="000000" w:themeColor="text1"/>
        </w:rPr>
        <w:t xml:space="preserve">the </w:t>
      </w:r>
      <w:r w:rsidRPr="00C03FEB">
        <w:rPr>
          <w:color w:val="000000" w:themeColor="text1"/>
        </w:rPr>
        <w:t xml:space="preserve">option to expand based on the growth value </w:t>
      </w:r>
      <w:r>
        <w:rPr>
          <w:color w:val="000000" w:themeColor="text1"/>
        </w:rPr>
        <w:t xml:space="preserve">is </w:t>
      </w:r>
      <w:r w:rsidRPr="00C03FEB">
        <w:rPr>
          <w:color w:val="000000" w:themeColor="text1"/>
        </w:rPr>
        <w:t>equal to 33.8 million, or 34% of the project gross value, suggest</w:t>
      </w:r>
      <w:r w:rsidR="00601906">
        <w:rPr>
          <w:color w:val="000000" w:themeColor="text1"/>
        </w:rPr>
        <w:t xml:space="preserve">ed </w:t>
      </w:r>
      <w:r w:rsidRPr="00C03FEB">
        <w:rPr>
          <w:color w:val="000000" w:themeColor="text1"/>
        </w:rPr>
        <w:t>that to expand with defer option</w:t>
      </w:r>
      <w:r w:rsidR="00601906">
        <w:rPr>
          <w:color w:val="000000" w:themeColor="text1"/>
        </w:rPr>
        <w:t xml:space="preserve"> </w:t>
      </w:r>
      <w:r w:rsidRPr="00C03FEB">
        <w:rPr>
          <w:color w:val="000000" w:themeColor="text1"/>
        </w:rPr>
        <w:t>strengthen</w:t>
      </w:r>
      <w:r w:rsidR="00601906">
        <w:rPr>
          <w:color w:val="000000" w:themeColor="text1"/>
        </w:rPr>
        <w:t>s</w:t>
      </w:r>
      <w:r w:rsidRPr="00C03FEB">
        <w:rPr>
          <w:color w:val="000000" w:themeColor="text1"/>
        </w:rPr>
        <w:t xml:space="preserve"> the decision choice of the government sector (see, Table 1 below). </w:t>
      </w:r>
    </w:p>
    <w:p w14:paraId="23B217D9" w14:textId="5EEA45EF" w:rsidR="00E428A7" w:rsidRPr="00C03FEB" w:rsidRDefault="00F35476" w:rsidP="00E428A7">
      <w:pPr>
        <w:spacing w:before="120" w:line="480" w:lineRule="auto"/>
        <w:ind w:firstLine="284"/>
        <w:jc w:val="both"/>
        <w:rPr>
          <w:color w:val="000000" w:themeColor="text1"/>
        </w:rPr>
      </w:pPr>
      <w:r>
        <w:rPr>
          <w:color w:val="000000" w:themeColor="text1"/>
        </w:rPr>
        <w:t>Thus, H</w:t>
      </w:r>
      <w:r w:rsidR="009131B9">
        <w:rPr>
          <w:color w:val="000000" w:themeColor="text1"/>
        </w:rPr>
        <w:t xml:space="preserve">1 finds further support, where H2 </w:t>
      </w:r>
      <w:r>
        <w:rPr>
          <w:color w:val="000000" w:themeColor="text1"/>
        </w:rPr>
        <w:t xml:space="preserve">is </w:t>
      </w:r>
      <w:r w:rsidR="009131B9">
        <w:rPr>
          <w:color w:val="000000" w:themeColor="text1"/>
        </w:rPr>
        <w:t xml:space="preserve">also </w:t>
      </w:r>
      <w:r>
        <w:rPr>
          <w:color w:val="000000" w:themeColor="text1"/>
        </w:rPr>
        <w:t>supported</w:t>
      </w:r>
      <w:r w:rsidR="00F75C06">
        <w:rPr>
          <w:color w:val="000000" w:themeColor="text1"/>
        </w:rPr>
        <w:t xml:space="preserve"> because</w:t>
      </w:r>
      <w:r w:rsidR="009131B9">
        <w:rPr>
          <w:color w:val="000000" w:themeColor="text1"/>
        </w:rPr>
        <w:t xml:space="preserve"> </w:t>
      </w:r>
      <w:r w:rsidR="00F75C06" w:rsidRPr="00AE6602">
        <w:t>Project B drives compound growth of both options</w:t>
      </w:r>
      <w:r w:rsidR="00F75C06" w:rsidRPr="0022787D">
        <w:rPr>
          <w:i/>
          <w:iCs/>
        </w:rPr>
        <w:t>.</w:t>
      </w:r>
      <w:r w:rsidR="00F75C06" w:rsidRPr="00F75C06">
        <w:rPr>
          <w:i/>
          <w:iCs/>
          <w:color w:val="0D0D0D" w:themeColor="text1" w:themeTint="F2"/>
        </w:rPr>
        <w:t xml:space="preserve"> </w:t>
      </w:r>
      <w:r w:rsidR="00F75C06">
        <w:rPr>
          <w:color w:val="000000" w:themeColor="text1"/>
        </w:rPr>
        <w:t>C</w:t>
      </w:r>
      <w:r w:rsidR="009131B9">
        <w:rPr>
          <w:color w:val="000000" w:themeColor="text1"/>
        </w:rPr>
        <w:t xml:space="preserve">onsequently, </w:t>
      </w:r>
      <w:r w:rsidR="009B5DAC">
        <w:rPr>
          <w:color w:val="000000" w:themeColor="text1"/>
        </w:rPr>
        <w:t xml:space="preserve">H3a is supported, given the </w:t>
      </w:r>
      <w:r w:rsidR="009131B9">
        <w:rPr>
          <w:color w:val="000000" w:themeColor="text1"/>
        </w:rPr>
        <w:t>results</w:t>
      </w:r>
      <w:r w:rsidR="009B5DAC">
        <w:rPr>
          <w:color w:val="000000" w:themeColor="text1"/>
        </w:rPr>
        <w:t xml:space="preserve"> in </w:t>
      </w:r>
      <w:r w:rsidR="00F75C06">
        <w:rPr>
          <w:color w:val="000000" w:themeColor="text1"/>
        </w:rPr>
        <w:t xml:space="preserve">both </w:t>
      </w:r>
      <w:r w:rsidR="009B5DAC">
        <w:rPr>
          <w:color w:val="000000" w:themeColor="text1"/>
        </w:rPr>
        <w:t>Table 1</w:t>
      </w:r>
      <w:r w:rsidR="00F75C06">
        <w:rPr>
          <w:color w:val="000000" w:themeColor="text1"/>
        </w:rPr>
        <w:t xml:space="preserve"> and </w:t>
      </w:r>
      <w:r w:rsidR="00616E94">
        <w:rPr>
          <w:color w:val="000000" w:themeColor="text1"/>
        </w:rPr>
        <w:t>Fig. 6.</w:t>
      </w:r>
      <w:r w:rsidR="00F75C06">
        <w:rPr>
          <w:color w:val="000000" w:themeColor="text1"/>
        </w:rPr>
        <w:t xml:space="preserve"> </w:t>
      </w:r>
    </w:p>
    <w:p w14:paraId="4DD19C74" w14:textId="6286A875" w:rsidR="000F2A90" w:rsidRPr="008B30DF" w:rsidRDefault="009B5DAC" w:rsidP="000F2A90">
      <w:pPr>
        <w:spacing w:before="120" w:line="480" w:lineRule="auto"/>
        <w:jc w:val="both"/>
        <w:rPr>
          <w:color w:val="000000" w:themeColor="text1"/>
          <w:vertAlign w:val="subscript"/>
        </w:rPr>
      </w:pPr>
      <w:r>
        <w:rPr>
          <w:color w:val="000000" w:themeColor="text1"/>
        </w:rPr>
        <w:t xml:space="preserve">   </w:t>
      </w:r>
      <w:r w:rsidR="000F2A90" w:rsidRPr="008B30DF">
        <w:rPr>
          <w:color w:val="000000" w:themeColor="text1"/>
        </w:rPr>
        <w:t>Table 1 Time-to-build option in sequential A, B, and C projects</w:t>
      </w:r>
    </w:p>
    <w:tbl>
      <w:tblPr>
        <w:tblW w:w="8787" w:type="dxa"/>
        <w:tblInd w:w="154" w:type="dxa"/>
        <w:tblBorders>
          <w:top w:val="single" w:sz="2" w:space="0" w:color="auto"/>
          <w:bottom w:val="single" w:sz="2" w:space="0" w:color="auto"/>
        </w:tblBorders>
        <w:tblLook w:val="04A0" w:firstRow="1" w:lastRow="0" w:firstColumn="1" w:lastColumn="0" w:noHBand="0" w:noVBand="1"/>
      </w:tblPr>
      <w:tblGrid>
        <w:gridCol w:w="1109"/>
        <w:gridCol w:w="1202"/>
        <w:gridCol w:w="1021"/>
        <w:gridCol w:w="1005"/>
        <w:gridCol w:w="1004"/>
        <w:gridCol w:w="955"/>
        <w:gridCol w:w="878"/>
        <w:gridCol w:w="1613"/>
      </w:tblGrid>
      <w:tr w:rsidR="000F2A90" w:rsidRPr="00D47D9F" w14:paraId="3F44C662" w14:textId="77777777" w:rsidTr="003D7A29">
        <w:trPr>
          <w:trHeight w:val="260"/>
        </w:trPr>
        <w:tc>
          <w:tcPr>
            <w:tcW w:w="1109" w:type="dxa"/>
            <w:tcBorders>
              <w:bottom w:val="single" w:sz="2" w:space="0" w:color="auto"/>
            </w:tcBorders>
          </w:tcPr>
          <w:p w14:paraId="7D6BF085" w14:textId="77777777" w:rsidR="000F2A90" w:rsidRPr="00856233" w:rsidRDefault="000F2A90" w:rsidP="003D7A29">
            <w:pPr>
              <w:spacing w:line="360" w:lineRule="auto"/>
              <w:rPr>
                <w:b/>
                <w:bCs/>
              </w:rPr>
            </w:pPr>
          </w:p>
        </w:tc>
        <w:tc>
          <w:tcPr>
            <w:tcW w:w="1202" w:type="dxa"/>
            <w:tcBorders>
              <w:bottom w:val="single" w:sz="2" w:space="0" w:color="auto"/>
            </w:tcBorders>
            <w:shd w:val="clear" w:color="auto" w:fill="auto"/>
            <w:noWrap/>
            <w:vAlign w:val="bottom"/>
            <w:hideMark/>
          </w:tcPr>
          <w:p w14:paraId="30F70B1D" w14:textId="77777777" w:rsidR="000F2A90" w:rsidRPr="00D47D9F" w:rsidRDefault="000F2A90" w:rsidP="003D7A29">
            <w:pPr>
              <w:spacing w:line="360" w:lineRule="auto"/>
              <w:rPr>
                <w:b/>
                <w:bCs/>
              </w:rPr>
            </w:pPr>
          </w:p>
        </w:tc>
        <w:tc>
          <w:tcPr>
            <w:tcW w:w="1021" w:type="dxa"/>
            <w:tcBorders>
              <w:bottom w:val="single" w:sz="2" w:space="0" w:color="auto"/>
            </w:tcBorders>
            <w:shd w:val="clear" w:color="auto" w:fill="auto"/>
            <w:noWrap/>
            <w:vAlign w:val="bottom"/>
            <w:hideMark/>
          </w:tcPr>
          <w:p w14:paraId="1072277D" w14:textId="77777777" w:rsidR="000F2A90" w:rsidRPr="00D47D9F" w:rsidRDefault="000F2A90" w:rsidP="003D7A29">
            <w:pPr>
              <w:spacing w:line="360" w:lineRule="auto"/>
              <w:rPr>
                <w:b/>
                <w:bCs/>
              </w:rPr>
            </w:pPr>
            <w:r w:rsidRPr="00D47D9F">
              <w:rPr>
                <w:b/>
                <w:bCs/>
                <w:i/>
                <w:iCs/>
              </w:rPr>
              <w:t>V</w:t>
            </w:r>
            <w:r w:rsidRPr="00D47D9F">
              <w:rPr>
                <w:b/>
                <w:bCs/>
                <w:vertAlign w:val="subscript"/>
              </w:rPr>
              <w:t>t</w:t>
            </w:r>
          </w:p>
        </w:tc>
        <w:tc>
          <w:tcPr>
            <w:tcW w:w="1005" w:type="dxa"/>
            <w:tcBorders>
              <w:bottom w:val="single" w:sz="2" w:space="0" w:color="auto"/>
            </w:tcBorders>
            <w:shd w:val="clear" w:color="auto" w:fill="auto"/>
            <w:noWrap/>
            <w:vAlign w:val="bottom"/>
            <w:hideMark/>
          </w:tcPr>
          <w:p w14:paraId="0661929F" w14:textId="77777777" w:rsidR="000F2A90" w:rsidRPr="001D41A8" w:rsidRDefault="000F2A90" w:rsidP="003D7A29">
            <w:pPr>
              <w:spacing w:line="360" w:lineRule="auto"/>
              <w:rPr>
                <w:b/>
                <w:bCs/>
                <w:i/>
                <w:iCs/>
              </w:rPr>
            </w:pPr>
            <w:r w:rsidRPr="001D41A8">
              <w:rPr>
                <w:b/>
                <w:bCs/>
                <w:i/>
                <w:iCs/>
              </w:rPr>
              <w:t>I</w:t>
            </w:r>
          </w:p>
        </w:tc>
        <w:tc>
          <w:tcPr>
            <w:tcW w:w="1004" w:type="dxa"/>
            <w:tcBorders>
              <w:bottom w:val="single" w:sz="2" w:space="0" w:color="auto"/>
            </w:tcBorders>
            <w:shd w:val="clear" w:color="auto" w:fill="auto"/>
            <w:noWrap/>
            <w:vAlign w:val="bottom"/>
            <w:hideMark/>
          </w:tcPr>
          <w:p w14:paraId="684297AE" w14:textId="77777777" w:rsidR="000F2A90" w:rsidRPr="00D47D9F" w:rsidRDefault="000F2A90" w:rsidP="003D7A29">
            <w:pPr>
              <w:spacing w:line="360" w:lineRule="auto"/>
              <w:rPr>
                <w:b/>
                <w:bCs/>
              </w:rPr>
            </w:pPr>
            <w:r w:rsidRPr="00D47D9F">
              <w:rPr>
                <w:b/>
                <w:bCs/>
                <w:i/>
                <w:iCs/>
              </w:rPr>
              <w:t>C</w:t>
            </w:r>
            <w:r w:rsidRPr="00856233">
              <w:rPr>
                <w:b/>
                <w:bCs/>
                <w:vertAlign w:val="subscript"/>
              </w:rPr>
              <w:t>0</w:t>
            </w:r>
          </w:p>
        </w:tc>
        <w:tc>
          <w:tcPr>
            <w:tcW w:w="955" w:type="dxa"/>
            <w:tcBorders>
              <w:bottom w:val="single" w:sz="2" w:space="0" w:color="auto"/>
            </w:tcBorders>
            <w:shd w:val="clear" w:color="auto" w:fill="auto"/>
            <w:noWrap/>
            <w:vAlign w:val="bottom"/>
            <w:hideMark/>
          </w:tcPr>
          <w:p w14:paraId="5DC1D7B5" w14:textId="77777777" w:rsidR="000F2A90" w:rsidRPr="00D47D9F" w:rsidRDefault="000F2A90" w:rsidP="003D7A29">
            <w:pPr>
              <w:spacing w:line="360" w:lineRule="auto"/>
              <w:rPr>
                <w:b/>
                <w:bCs/>
              </w:rPr>
            </w:pPr>
            <w:r w:rsidRPr="00D47D9F">
              <w:rPr>
                <w:b/>
                <w:bCs/>
                <w:i/>
                <w:iCs/>
              </w:rPr>
              <w:t>C</w:t>
            </w:r>
            <w:r w:rsidRPr="00856233">
              <w:rPr>
                <w:b/>
                <w:bCs/>
                <w:i/>
                <w:iCs/>
                <w:vertAlign w:val="subscript"/>
              </w:rPr>
              <w:t>A</w:t>
            </w:r>
          </w:p>
        </w:tc>
        <w:tc>
          <w:tcPr>
            <w:tcW w:w="878" w:type="dxa"/>
            <w:tcBorders>
              <w:bottom w:val="single" w:sz="2" w:space="0" w:color="auto"/>
            </w:tcBorders>
            <w:shd w:val="clear" w:color="auto" w:fill="auto"/>
            <w:noWrap/>
            <w:vAlign w:val="bottom"/>
            <w:hideMark/>
          </w:tcPr>
          <w:p w14:paraId="707D315D" w14:textId="77777777" w:rsidR="000F2A90" w:rsidRPr="00D47D9F" w:rsidRDefault="000F2A90" w:rsidP="003D7A29">
            <w:pPr>
              <w:spacing w:line="360" w:lineRule="auto"/>
              <w:rPr>
                <w:b/>
                <w:bCs/>
              </w:rPr>
            </w:pPr>
            <w:r w:rsidRPr="00D47D9F">
              <w:rPr>
                <w:b/>
                <w:bCs/>
              </w:rPr>
              <w:t>FNPV</w:t>
            </w:r>
          </w:p>
        </w:tc>
        <w:tc>
          <w:tcPr>
            <w:tcW w:w="1613" w:type="dxa"/>
            <w:tcBorders>
              <w:bottom w:val="single" w:sz="2" w:space="0" w:color="auto"/>
            </w:tcBorders>
            <w:shd w:val="clear" w:color="auto" w:fill="auto"/>
            <w:noWrap/>
            <w:vAlign w:val="bottom"/>
            <w:hideMark/>
          </w:tcPr>
          <w:p w14:paraId="0DDBAB3C" w14:textId="77777777" w:rsidR="000F2A90" w:rsidRPr="00D47D9F" w:rsidRDefault="000F2A90" w:rsidP="003D7A29">
            <w:pPr>
              <w:spacing w:line="360" w:lineRule="auto"/>
              <w:rPr>
                <w:b/>
                <w:bCs/>
              </w:rPr>
            </w:pPr>
            <w:r w:rsidRPr="00D47D9F">
              <w:rPr>
                <w:b/>
                <w:bCs/>
              </w:rPr>
              <w:t>Decision</w:t>
            </w:r>
          </w:p>
        </w:tc>
      </w:tr>
      <w:tr w:rsidR="000F2A90" w:rsidRPr="00D47D9F" w14:paraId="1CD491FF" w14:textId="77777777" w:rsidTr="003D7A29">
        <w:trPr>
          <w:trHeight w:val="260"/>
        </w:trPr>
        <w:tc>
          <w:tcPr>
            <w:tcW w:w="1109" w:type="dxa"/>
            <w:tcBorders>
              <w:top w:val="single" w:sz="2" w:space="0" w:color="auto"/>
              <w:bottom w:val="nil"/>
            </w:tcBorders>
          </w:tcPr>
          <w:p w14:paraId="4C7B702C" w14:textId="77777777" w:rsidR="000F2A90" w:rsidRPr="00856233" w:rsidRDefault="000F2A90" w:rsidP="003D7A29">
            <w:pPr>
              <w:spacing w:line="360" w:lineRule="auto"/>
            </w:pPr>
            <w:r>
              <w:t>(</w:t>
            </w:r>
            <w:r w:rsidRPr="00856233">
              <w:t>Expand</w:t>
            </w:r>
            <w:r>
              <w:t>)</w:t>
            </w:r>
          </w:p>
        </w:tc>
        <w:tc>
          <w:tcPr>
            <w:tcW w:w="1202" w:type="dxa"/>
            <w:tcBorders>
              <w:top w:val="single" w:sz="2" w:space="0" w:color="auto"/>
              <w:bottom w:val="nil"/>
            </w:tcBorders>
            <w:shd w:val="clear" w:color="auto" w:fill="auto"/>
            <w:noWrap/>
            <w:vAlign w:val="bottom"/>
            <w:hideMark/>
          </w:tcPr>
          <w:p w14:paraId="368B2845" w14:textId="77777777" w:rsidR="000F2A90" w:rsidRPr="00D47D9F" w:rsidRDefault="000F2A90" w:rsidP="003D7A29">
            <w:pPr>
              <w:spacing w:line="360" w:lineRule="auto"/>
            </w:pPr>
            <w:r w:rsidRPr="00D47D9F">
              <w:t xml:space="preserve">Project </w:t>
            </w:r>
            <w:r w:rsidRPr="00856233">
              <w:t>B</w:t>
            </w:r>
          </w:p>
        </w:tc>
        <w:tc>
          <w:tcPr>
            <w:tcW w:w="1021" w:type="dxa"/>
            <w:tcBorders>
              <w:top w:val="single" w:sz="2" w:space="0" w:color="auto"/>
              <w:bottom w:val="nil"/>
            </w:tcBorders>
            <w:shd w:val="clear" w:color="auto" w:fill="auto"/>
            <w:noWrap/>
            <w:vAlign w:val="bottom"/>
            <w:hideMark/>
          </w:tcPr>
          <w:p w14:paraId="1394A235" w14:textId="77777777" w:rsidR="000F2A90" w:rsidRPr="00D47D9F" w:rsidRDefault="000F2A90" w:rsidP="003D7A29">
            <w:pPr>
              <w:spacing w:line="360" w:lineRule="auto"/>
            </w:pPr>
            <w:r w:rsidRPr="00D47D9F">
              <w:t>368</w:t>
            </w:r>
          </w:p>
        </w:tc>
        <w:tc>
          <w:tcPr>
            <w:tcW w:w="1005" w:type="dxa"/>
            <w:tcBorders>
              <w:top w:val="single" w:sz="2" w:space="0" w:color="auto"/>
              <w:bottom w:val="nil"/>
            </w:tcBorders>
            <w:shd w:val="clear" w:color="auto" w:fill="auto"/>
            <w:noWrap/>
            <w:vAlign w:val="bottom"/>
            <w:hideMark/>
          </w:tcPr>
          <w:p w14:paraId="481F7523" w14:textId="77777777" w:rsidR="000F2A90" w:rsidRPr="00D47D9F" w:rsidRDefault="000F2A90" w:rsidP="003D7A29">
            <w:pPr>
              <w:spacing w:line="360" w:lineRule="auto"/>
            </w:pPr>
            <w:r w:rsidRPr="00D47D9F">
              <w:t>350</w:t>
            </w:r>
          </w:p>
        </w:tc>
        <w:tc>
          <w:tcPr>
            <w:tcW w:w="1004" w:type="dxa"/>
            <w:tcBorders>
              <w:top w:val="single" w:sz="2" w:space="0" w:color="auto"/>
              <w:bottom w:val="nil"/>
            </w:tcBorders>
            <w:shd w:val="clear" w:color="auto" w:fill="auto"/>
            <w:noWrap/>
            <w:vAlign w:val="bottom"/>
            <w:hideMark/>
          </w:tcPr>
          <w:p w14:paraId="79DDAE28" w14:textId="77777777" w:rsidR="000F2A90" w:rsidRPr="00D47D9F" w:rsidRDefault="000F2A90" w:rsidP="003D7A29">
            <w:pPr>
              <w:spacing w:line="360" w:lineRule="auto"/>
            </w:pPr>
            <w:r w:rsidRPr="00D47D9F">
              <w:t>149</w:t>
            </w:r>
          </w:p>
        </w:tc>
        <w:tc>
          <w:tcPr>
            <w:tcW w:w="955" w:type="dxa"/>
            <w:tcBorders>
              <w:top w:val="single" w:sz="2" w:space="0" w:color="auto"/>
              <w:bottom w:val="nil"/>
            </w:tcBorders>
            <w:shd w:val="clear" w:color="auto" w:fill="auto"/>
            <w:noWrap/>
            <w:vAlign w:val="bottom"/>
            <w:hideMark/>
          </w:tcPr>
          <w:p w14:paraId="486F2AB1" w14:textId="77777777" w:rsidR="000F2A90" w:rsidRPr="00D47D9F" w:rsidRDefault="000F2A90" w:rsidP="003D7A29">
            <w:pPr>
              <w:spacing w:line="360" w:lineRule="auto"/>
            </w:pPr>
            <w:r w:rsidRPr="00D47D9F">
              <w:t>62</w:t>
            </w:r>
          </w:p>
        </w:tc>
        <w:tc>
          <w:tcPr>
            <w:tcW w:w="878" w:type="dxa"/>
            <w:tcBorders>
              <w:top w:val="single" w:sz="2" w:space="0" w:color="auto"/>
              <w:bottom w:val="nil"/>
            </w:tcBorders>
            <w:shd w:val="clear" w:color="auto" w:fill="auto"/>
            <w:noWrap/>
            <w:vAlign w:val="bottom"/>
            <w:hideMark/>
          </w:tcPr>
          <w:p w14:paraId="6BC5B35F" w14:textId="77777777" w:rsidR="000F2A90" w:rsidRPr="00D47D9F" w:rsidRDefault="000F2A90" w:rsidP="003D7A29">
            <w:pPr>
              <w:spacing w:line="360" w:lineRule="auto"/>
            </w:pPr>
            <w:r w:rsidRPr="00D47D9F">
              <w:t>87</w:t>
            </w:r>
          </w:p>
        </w:tc>
        <w:tc>
          <w:tcPr>
            <w:tcW w:w="1613" w:type="dxa"/>
            <w:tcBorders>
              <w:top w:val="single" w:sz="2" w:space="0" w:color="auto"/>
              <w:bottom w:val="nil"/>
            </w:tcBorders>
            <w:shd w:val="clear" w:color="auto" w:fill="auto"/>
            <w:noWrap/>
            <w:vAlign w:val="bottom"/>
            <w:hideMark/>
          </w:tcPr>
          <w:p w14:paraId="1A7F3302" w14:textId="77777777" w:rsidR="000F2A90" w:rsidRPr="00D47D9F" w:rsidRDefault="000F2A90" w:rsidP="003D7A29">
            <w:pPr>
              <w:spacing w:line="360" w:lineRule="auto"/>
            </w:pPr>
            <w:r w:rsidRPr="00856233">
              <w:t>Recommend</w:t>
            </w:r>
          </w:p>
        </w:tc>
      </w:tr>
      <w:tr w:rsidR="000F2A90" w:rsidRPr="00D47D9F" w14:paraId="5650A76A" w14:textId="77777777" w:rsidTr="003D7A29">
        <w:trPr>
          <w:trHeight w:val="260"/>
        </w:trPr>
        <w:tc>
          <w:tcPr>
            <w:tcW w:w="1109" w:type="dxa"/>
            <w:tcBorders>
              <w:top w:val="nil"/>
              <w:bottom w:val="nil"/>
            </w:tcBorders>
          </w:tcPr>
          <w:p w14:paraId="21F194F1" w14:textId="77777777" w:rsidR="000F2A90" w:rsidRPr="00856233" w:rsidRDefault="000F2A90" w:rsidP="003D7A29">
            <w:pPr>
              <w:spacing w:line="360" w:lineRule="auto"/>
            </w:pPr>
            <w:r>
              <w:t>(</w:t>
            </w:r>
            <w:r w:rsidRPr="00856233">
              <w:t>Defer</w:t>
            </w:r>
            <w:r>
              <w:t>)</w:t>
            </w:r>
          </w:p>
        </w:tc>
        <w:tc>
          <w:tcPr>
            <w:tcW w:w="1202" w:type="dxa"/>
            <w:tcBorders>
              <w:top w:val="nil"/>
              <w:bottom w:val="nil"/>
            </w:tcBorders>
            <w:shd w:val="clear" w:color="auto" w:fill="auto"/>
            <w:noWrap/>
            <w:vAlign w:val="bottom"/>
            <w:hideMark/>
          </w:tcPr>
          <w:p w14:paraId="4BEBA8F5" w14:textId="77777777" w:rsidR="000F2A90" w:rsidRPr="00D47D9F" w:rsidRDefault="000F2A90" w:rsidP="003D7A29">
            <w:pPr>
              <w:spacing w:line="360" w:lineRule="auto"/>
            </w:pPr>
            <w:r w:rsidRPr="00D47D9F">
              <w:t xml:space="preserve">Project </w:t>
            </w:r>
            <w:r w:rsidRPr="00856233">
              <w:t>A</w:t>
            </w:r>
          </w:p>
        </w:tc>
        <w:tc>
          <w:tcPr>
            <w:tcW w:w="1021" w:type="dxa"/>
            <w:tcBorders>
              <w:top w:val="nil"/>
              <w:bottom w:val="nil"/>
            </w:tcBorders>
            <w:shd w:val="clear" w:color="auto" w:fill="auto"/>
            <w:noWrap/>
            <w:vAlign w:val="bottom"/>
            <w:hideMark/>
          </w:tcPr>
          <w:p w14:paraId="2ABD9CD1" w14:textId="77777777" w:rsidR="000F2A90" w:rsidRPr="00D47D9F" w:rsidRDefault="000F2A90" w:rsidP="003D7A29">
            <w:pPr>
              <w:spacing w:line="360" w:lineRule="auto"/>
            </w:pPr>
            <w:r w:rsidRPr="00D47D9F">
              <w:t>270</w:t>
            </w:r>
          </w:p>
        </w:tc>
        <w:tc>
          <w:tcPr>
            <w:tcW w:w="1005" w:type="dxa"/>
            <w:tcBorders>
              <w:top w:val="nil"/>
              <w:bottom w:val="nil"/>
            </w:tcBorders>
            <w:shd w:val="clear" w:color="auto" w:fill="auto"/>
            <w:noWrap/>
            <w:vAlign w:val="bottom"/>
            <w:hideMark/>
          </w:tcPr>
          <w:p w14:paraId="4735C149" w14:textId="77777777" w:rsidR="000F2A90" w:rsidRPr="00D47D9F" w:rsidRDefault="000F2A90" w:rsidP="003D7A29">
            <w:pPr>
              <w:spacing w:line="360" w:lineRule="auto"/>
            </w:pPr>
            <w:r w:rsidRPr="00D47D9F">
              <w:t>281</w:t>
            </w:r>
          </w:p>
        </w:tc>
        <w:tc>
          <w:tcPr>
            <w:tcW w:w="1004" w:type="dxa"/>
            <w:tcBorders>
              <w:top w:val="nil"/>
              <w:bottom w:val="nil"/>
            </w:tcBorders>
            <w:shd w:val="clear" w:color="auto" w:fill="auto"/>
            <w:noWrap/>
            <w:vAlign w:val="bottom"/>
            <w:hideMark/>
          </w:tcPr>
          <w:p w14:paraId="7444F2AB" w14:textId="77777777" w:rsidR="000F2A90" w:rsidRPr="00D47D9F" w:rsidRDefault="000F2A90" w:rsidP="003D7A29">
            <w:pPr>
              <w:spacing w:line="360" w:lineRule="auto"/>
            </w:pPr>
            <w:r w:rsidRPr="00D47D9F">
              <w:t>64</w:t>
            </w:r>
          </w:p>
        </w:tc>
        <w:tc>
          <w:tcPr>
            <w:tcW w:w="955" w:type="dxa"/>
            <w:tcBorders>
              <w:top w:val="nil"/>
              <w:bottom w:val="nil"/>
            </w:tcBorders>
            <w:shd w:val="clear" w:color="auto" w:fill="auto"/>
            <w:noWrap/>
            <w:vAlign w:val="bottom"/>
            <w:hideMark/>
          </w:tcPr>
          <w:p w14:paraId="141E9292" w14:textId="77777777" w:rsidR="000F2A90" w:rsidRPr="00D47D9F" w:rsidRDefault="000F2A90" w:rsidP="003D7A29">
            <w:pPr>
              <w:spacing w:line="360" w:lineRule="auto"/>
            </w:pPr>
            <w:r w:rsidRPr="00D47D9F">
              <w:t>47</w:t>
            </w:r>
          </w:p>
        </w:tc>
        <w:tc>
          <w:tcPr>
            <w:tcW w:w="878" w:type="dxa"/>
            <w:tcBorders>
              <w:top w:val="nil"/>
              <w:bottom w:val="nil"/>
            </w:tcBorders>
            <w:shd w:val="clear" w:color="auto" w:fill="auto"/>
            <w:noWrap/>
            <w:vAlign w:val="bottom"/>
            <w:hideMark/>
          </w:tcPr>
          <w:p w14:paraId="73E995AC" w14:textId="77777777" w:rsidR="000F2A90" w:rsidRPr="00D47D9F" w:rsidRDefault="000F2A90" w:rsidP="003D7A29">
            <w:pPr>
              <w:spacing w:line="360" w:lineRule="auto"/>
            </w:pPr>
            <w:r w:rsidRPr="00D47D9F">
              <w:t>17</w:t>
            </w:r>
          </w:p>
        </w:tc>
        <w:tc>
          <w:tcPr>
            <w:tcW w:w="1613" w:type="dxa"/>
            <w:tcBorders>
              <w:top w:val="nil"/>
              <w:bottom w:val="nil"/>
            </w:tcBorders>
            <w:shd w:val="clear" w:color="auto" w:fill="auto"/>
            <w:noWrap/>
            <w:vAlign w:val="bottom"/>
            <w:hideMark/>
          </w:tcPr>
          <w:p w14:paraId="631FCEE2" w14:textId="77777777" w:rsidR="000F2A90" w:rsidRPr="00D47D9F" w:rsidRDefault="000F2A90" w:rsidP="003D7A29">
            <w:pPr>
              <w:spacing w:line="360" w:lineRule="auto"/>
            </w:pPr>
            <w:r w:rsidRPr="00856233">
              <w:t>Recommend</w:t>
            </w:r>
          </w:p>
        </w:tc>
      </w:tr>
      <w:tr w:rsidR="000F2A90" w:rsidRPr="00D47D9F" w14:paraId="79D60D24" w14:textId="77777777" w:rsidTr="003D7A29">
        <w:trPr>
          <w:trHeight w:val="260"/>
        </w:trPr>
        <w:tc>
          <w:tcPr>
            <w:tcW w:w="1109" w:type="dxa"/>
            <w:tcBorders>
              <w:top w:val="nil"/>
            </w:tcBorders>
          </w:tcPr>
          <w:p w14:paraId="6F337C40" w14:textId="77777777" w:rsidR="000F2A90" w:rsidRPr="00856233" w:rsidRDefault="000F2A90" w:rsidP="003D7A29">
            <w:pPr>
              <w:spacing w:line="360" w:lineRule="auto"/>
            </w:pPr>
            <w:r>
              <w:t>(</w:t>
            </w:r>
            <w:r w:rsidRPr="00856233">
              <w:t>Switch</w:t>
            </w:r>
            <w:r>
              <w:t>)</w:t>
            </w:r>
          </w:p>
        </w:tc>
        <w:tc>
          <w:tcPr>
            <w:tcW w:w="1202" w:type="dxa"/>
            <w:tcBorders>
              <w:top w:val="nil"/>
            </w:tcBorders>
            <w:shd w:val="clear" w:color="auto" w:fill="auto"/>
            <w:noWrap/>
            <w:vAlign w:val="bottom"/>
          </w:tcPr>
          <w:p w14:paraId="25328EED" w14:textId="77777777" w:rsidR="000F2A90" w:rsidRPr="00856233" w:rsidRDefault="000F2A90" w:rsidP="003D7A29">
            <w:pPr>
              <w:spacing w:line="360" w:lineRule="auto"/>
            </w:pPr>
            <w:r w:rsidRPr="00856233">
              <w:t xml:space="preserve">Project </w:t>
            </w:r>
            <w:r>
              <w:t>C</w:t>
            </w:r>
          </w:p>
        </w:tc>
        <w:tc>
          <w:tcPr>
            <w:tcW w:w="1021" w:type="dxa"/>
            <w:tcBorders>
              <w:top w:val="nil"/>
            </w:tcBorders>
            <w:shd w:val="clear" w:color="auto" w:fill="auto"/>
            <w:noWrap/>
            <w:vAlign w:val="bottom"/>
          </w:tcPr>
          <w:p w14:paraId="1FA1CE53" w14:textId="77777777" w:rsidR="000F2A90" w:rsidRPr="00856233" w:rsidRDefault="000F2A90" w:rsidP="003D7A29">
            <w:pPr>
              <w:spacing w:line="360" w:lineRule="auto"/>
            </w:pPr>
            <w:r w:rsidRPr="00856233">
              <w:t>386</w:t>
            </w:r>
          </w:p>
        </w:tc>
        <w:tc>
          <w:tcPr>
            <w:tcW w:w="1005" w:type="dxa"/>
            <w:tcBorders>
              <w:top w:val="nil"/>
            </w:tcBorders>
            <w:shd w:val="clear" w:color="auto" w:fill="auto"/>
            <w:noWrap/>
            <w:vAlign w:val="bottom"/>
          </w:tcPr>
          <w:p w14:paraId="1D7510C9" w14:textId="77777777" w:rsidR="000F2A90" w:rsidRPr="00856233" w:rsidRDefault="000F2A90" w:rsidP="003D7A29">
            <w:pPr>
              <w:spacing w:line="360" w:lineRule="auto"/>
            </w:pPr>
            <w:r w:rsidRPr="00856233">
              <w:t>392</w:t>
            </w:r>
          </w:p>
        </w:tc>
        <w:tc>
          <w:tcPr>
            <w:tcW w:w="1004" w:type="dxa"/>
            <w:tcBorders>
              <w:top w:val="nil"/>
            </w:tcBorders>
            <w:shd w:val="clear" w:color="auto" w:fill="auto"/>
            <w:noWrap/>
            <w:vAlign w:val="bottom"/>
          </w:tcPr>
          <w:p w14:paraId="2F119F33" w14:textId="77777777" w:rsidR="000F2A90" w:rsidRPr="00856233" w:rsidRDefault="000F2A90" w:rsidP="003D7A29">
            <w:pPr>
              <w:spacing w:line="360" w:lineRule="auto"/>
            </w:pPr>
            <w:r w:rsidRPr="00856233">
              <w:t>144</w:t>
            </w:r>
          </w:p>
        </w:tc>
        <w:tc>
          <w:tcPr>
            <w:tcW w:w="955" w:type="dxa"/>
            <w:tcBorders>
              <w:top w:val="nil"/>
            </w:tcBorders>
            <w:shd w:val="clear" w:color="auto" w:fill="auto"/>
            <w:noWrap/>
            <w:vAlign w:val="bottom"/>
          </w:tcPr>
          <w:p w14:paraId="52153980" w14:textId="77777777" w:rsidR="000F2A90" w:rsidRPr="00856233" w:rsidRDefault="000F2A90" w:rsidP="003D7A29">
            <w:pPr>
              <w:spacing w:line="360" w:lineRule="auto"/>
            </w:pPr>
            <w:r w:rsidRPr="00856233">
              <w:t>62</w:t>
            </w:r>
          </w:p>
        </w:tc>
        <w:tc>
          <w:tcPr>
            <w:tcW w:w="878" w:type="dxa"/>
            <w:tcBorders>
              <w:top w:val="nil"/>
            </w:tcBorders>
            <w:shd w:val="clear" w:color="auto" w:fill="auto"/>
            <w:noWrap/>
            <w:vAlign w:val="bottom"/>
          </w:tcPr>
          <w:p w14:paraId="134BB267" w14:textId="77777777" w:rsidR="000F2A90" w:rsidRPr="00856233" w:rsidRDefault="000F2A90" w:rsidP="003D7A29">
            <w:pPr>
              <w:spacing w:line="360" w:lineRule="auto"/>
            </w:pPr>
            <w:r w:rsidRPr="00856233">
              <w:t>82</w:t>
            </w:r>
          </w:p>
        </w:tc>
        <w:tc>
          <w:tcPr>
            <w:tcW w:w="1613" w:type="dxa"/>
            <w:tcBorders>
              <w:top w:val="nil"/>
            </w:tcBorders>
            <w:shd w:val="clear" w:color="auto" w:fill="auto"/>
            <w:noWrap/>
            <w:vAlign w:val="bottom"/>
          </w:tcPr>
          <w:p w14:paraId="5A07D728" w14:textId="77777777" w:rsidR="000F2A90" w:rsidRPr="00856233" w:rsidRDefault="000F2A90" w:rsidP="003D7A29">
            <w:pPr>
              <w:spacing w:line="360" w:lineRule="auto"/>
            </w:pPr>
            <w:r w:rsidRPr="00856233">
              <w:t>Recommend</w:t>
            </w:r>
          </w:p>
        </w:tc>
      </w:tr>
    </w:tbl>
    <w:p w14:paraId="6CD1A391" w14:textId="2F3D5597" w:rsidR="00BB6599" w:rsidRDefault="000F2A90" w:rsidP="00AE6602">
      <w:pPr>
        <w:autoSpaceDE w:val="0"/>
        <w:autoSpaceDN w:val="0"/>
        <w:adjustRightInd w:val="0"/>
        <w:spacing w:line="360" w:lineRule="auto"/>
      </w:pPr>
      <w:r>
        <w:t xml:space="preserve"> (Where C refers to corporate sector project, in association with government sector project A, see, also Appendix A for details)</w:t>
      </w:r>
    </w:p>
    <w:p w14:paraId="5557427B" w14:textId="0646A064" w:rsidR="00A64AE6" w:rsidRDefault="009B5DAC" w:rsidP="009B5DAC">
      <w:pPr>
        <w:spacing w:before="240" w:after="120" w:line="480" w:lineRule="auto"/>
        <w:ind w:firstLine="284"/>
        <w:jc w:val="both"/>
      </w:pPr>
      <w:r>
        <w:t>To continue with the evaluation</w:t>
      </w:r>
      <w:r w:rsidR="00701740">
        <w:t>,</w:t>
      </w:r>
      <w:r>
        <w:t xml:space="preserve"> results from </w:t>
      </w:r>
      <w:r w:rsidRPr="00B8044A">
        <w:t xml:space="preserve">Table </w:t>
      </w:r>
      <w:r>
        <w:t>2</w:t>
      </w:r>
      <w:r w:rsidRPr="00B8044A">
        <w:t xml:space="preserve"> </w:t>
      </w:r>
      <w:r w:rsidR="00303B6C">
        <w:t xml:space="preserve">once again, </w:t>
      </w:r>
      <w:r>
        <w:t>suggest</w:t>
      </w:r>
      <w:r w:rsidRPr="00B8044A">
        <w:t xml:space="preserve"> </w:t>
      </w:r>
      <w:r w:rsidR="00303B6C">
        <w:t>H3a and H3b</w:t>
      </w:r>
      <w:r w:rsidR="00303B6C" w:rsidRPr="00303B6C">
        <w:t xml:space="preserve"> </w:t>
      </w:r>
      <w:r w:rsidR="00303B6C">
        <w:t>are support.</w:t>
      </w:r>
      <w:r w:rsidR="00303B6C" w:rsidRPr="00B8044A">
        <w:t xml:space="preserve"> </w:t>
      </w:r>
      <w:r w:rsidR="00303B6C">
        <w:t>T</w:t>
      </w:r>
      <w:r>
        <w:t xml:space="preserve">he </w:t>
      </w:r>
      <w:r w:rsidRPr="00B8044A">
        <w:t xml:space="preserve">value three </w:t>
      </w:r>
      <w:r>
        <w:t xml:space="preserve">(Figure 3) </w:t>
      </w:r>
      <w:r w:rsidRPr="00B8044A">
        <w:t xml:space="preserve">of the </w:t>
      </w:r>
      <w:r>
        <w:t xml:space="preserve">business option or growth </w:t>
      </w:r>
      <w:r w:rsidRPr="00B8044A">
        <w:t xml:space="preserve">opportunities </w:t>
      </w:r>
      <w:r w:rsidR="00303B6C">
        <w:t xml:space="preserve">are </w:t>
      </w:r>
      <w:r w:rsidRPr="00B8044A">
        <w:t xml:space="preserve">available to </w:t>
      </w:r>
      <w:r>
        <w:t xml:space="preserve">a </w:t>
      </w:r>
      <w:r w:rsidRPr="00B8044A">
        <w:t>firm</w:t>
      </w:r>
      <w:r>
        <w:t xml:space="preserve">. </w:t>
      </w:r>
      <w:r w:rsidR="00303B6C">
        <w:t>T</w:t>
      </w:r>
      <w:r w:rsidRPr="00B8044A">
        <w:t xml:space="preserve">he </w:t>
      </w:r>
      <w:r>
        <w:t xml:space="preserve">value </w:t>
      </w:r>
      <w:r w:rsidRPr="00B8044A">
        <w:t xml:space="preserve">assumptions are r = 4%, </w:t>
      </w:r>
      <m:oMath>
        <m:r>
          <w:rPr>
            <w:rFonts w:ascii="Cambria Math" w:hAnsi="Cambria Math"/>
          </w:rPr>
          <m:t>σ</m:t>
        </m:r>
      </m:oMath>
      <w:r w:rsidRPr="00B8044A">
        <w:t xml:space="preserve"> = 22% and </w:t>
      </w:r>
      <w:r w:rsidRPr="00B8044A">
        <w:rPr>
          <w:iCs/>
        </w:rPr>
        <w:t>T</w:t>
      </w:r>
      <w:r w:rsidRPr="00B8044A">
        <w:t xml:space="preserve"> = 2 years; the volatility is an unlevered estimate </w:t>
      </w:r>
      <w:r>
        <w:t>(or can be</w:t>
      </w:r>
      <w:r w:rsidRPr="00B8044A">
        <w:t xml:space="preserve"> calculated from the historical stock price volatility</w:t>
      </w:r>
      <w:r>
        <w:t>)</w:t>
      </w:r>
      <w:r w:rsidRPr="00B8044A">
        <w:t xml:space="preserve"> and volatility on its publicly traded option prices</w:t>
      </w:r>
      <w:r>
        <w:t>,</w:t>
      </w:r>
      <w:r w:rsidRPr="00B8044A">
        <w:t xml:space="preserve"> where future price</w:t>
      </w:r>
      <w:r>
        <w:t>s are</w:t>
      </w:r>
      <w:r w:rsidRPr="00B8044A">
        <w:t xml:space="preserve"> equal to the present value of the cash inflows, </w:t>
      </w:r>
      <w:r w:rsidRPr="00FA32F8">
        <w:rPr>
          <w:i/>
          <w:iCs/>
        </w:rPr>
        <w:t>V</w:t>
      </w:r>
      <w:r w:rsidRPr="00B8044A">
        <w:rPr>
          <w:iCs/>
          <w:vertAlign w:val="subscript"/>
        </w:rPr>
        <w:t>T</w:t>
      </w:r>
      <w:r w:rsidRPr="00B8044A">
        <w:t xml:space="preserve">, at time </w:t>
      </w:r>
      <w:r w:rsidRPr="00B8044A">
        <w:rPr>
          <w:iCs/>
        </w:rPr>
        <w:t>T</w:t>
      </w:r>
      <w:r w:rsidRPr="00B8044A">
        <w:t xml:space="preserve"> with exercise price </w:t>
      </w:r>
      <w:r w:rsidRPr="00FA32F8">
        <w:rPr>
          <w:i/>
        </w:rPr>
        <w:t>I</w:t>
      </w:r>
      <w:r w:rsidRPr="00B8044A">
        <w:t xml:space="preserve">. </w:t>
      </w:r>
      <w:r>
        <w:t xml:space="preserve">And the </w:t>
      </w:r>
      <w:r w:rsidRPr="00B8044A">
        <w:t xml:space="preserve">downstream investment in </w:t>
      </w:r>
      <w:r>
        <w:t>E</w:t>
      </w:r>
      <w:r w:rsidRPr="00B8044A">
        <w:t xml:space="preserve"> </w:t>
      </w:r>
      <w:r>
        <w:t xml:space="preserve">suggests that </w:t>
      </w:r>
      <w:r w:rsidRPr="00B8044A">
        <w:t xml:space="preserve">the economic viability requires the valuation of options on both assets while evaluating the correlation between the two assets. </w:t>
      </w:r>
    </w:p>
    <w:p w14:paraId="767D187A" w14:textId="77777777" w:rsidR="00F034C0" w:rsidRDefault="00303B6C" w:rsidP="009B5DAC">
      <w:pPr>
        <w:spacing w:before="240" w:after="120" w:line="480" w:lineRule="auto"/>
        <w:ind w:firstLine="284"/>
        <w:jc w:val="both"/>
      </w:pPr>
      <w:r>
        <w:lastRenderedPageBreak/>
        <w:t xml:space="preserve">The </w:t>
      </w:r>
      <w:r w:rsidRPr="00FD2CA7">
        <w:t>estimate</w:t>
      </w:r>
      <w:r>
        <w:t xml:space="preserve"> as reported in Table 2 showed</w:t>
      </w:r>
      <w:r w:rsidRPr="00FD2CA7">
        <w:t xml:space="preserve"> </w:t>
      </w:r>
      <w:r>
        <w:t>that Project E, t</w:t>
      </w:r>
      <w:r w:rsidRPr="00FD2CA7">
        <w:t>he FNPV is negative -</w:t>
      </w:r>
      <w:r>
        <w:t>43</w:t>
      </w:r>
      <w:r w:rsidRPr="00FD2CA7">
        <w:t>,</w:t>
      </w:r>
      <w:r>
        <w:t xml:space="preserve"> </w:t>
      </w:r>
      <w:r w:rsidRPr="00FD2CA7">
        <w:t xml:space="preserve">and investment is not advised. </w:t>
      </w:r>
      <w:r>
        <w:t>T</w:t>
      </w:r>
      <w:r w:rsidRPr="00FD2CA7">
        <w:t>he calculations</w:t>
      </w:r>
      <w:r>
        <w:t xml:space="preserve"> also reflected </w:t>
      </w:r>
      <w:r w:rsidRPr="00FD2CA7">
        <w:t xml:space="preserve">the correlation coefficients </w:t>
      </w:r>
      <w:r>
        <w:t xml:space="preserve">as explained earlier </w:t>
      </w:r>
      <w:r w:rsidRPr="00FD2CA7">
        <w:t xml:space="preserve">between the two options </w:t>
      </w:r>
      <w:r>
        <w:t xml:space="preserve">(of </w:t>
      </w:r>
      <w:r w:rsidRPr="00FD2CA7">
        <w:t xml:space="preserve">Project </w:t>
      </w:r>
      <w:r>
        <w:t>D and E, as compound defer and abandon)</w:t>
      </w:r>
      <w:r w:rsidR="00616E94">
        <w:t>,</w:t>
      </w:r>
      <w:r>
        <w:t xml:space="preserve"> </w:t>
      </w:r>
      <w:r w:rsidR="00F35E4F">
        <w:t xml:space="preserve">where </w:t>
      </w:r>
      <w:r w:rsidRPr="00FD2CA7">
        <w:t>the NPV</w:t>
      </w:r>
      <w:r w:rsidR="00594761">
        <w:t xml:space="preserve"> is</w:t>
      </w:r>
      <w:r w:rsidRPr="00FD2CA7">
        <w:t xml:space="preserve"> negative</w:t>
      </w:r>
      <w:r w:rsidR="00F034C0">
        <w:t>.</w:t>
      </w:r>
    </w:p>
    <w:p w14:paraId="67CE0B67" w14:textId="5E83D93E" w:rsidR="009B5DAC" w:rsidRDefault="00F034C0" w:rsidP="009B5DAC">
      <w:pPr>
        <w:spacing w:before="240" w:after="120" w:line="480" w:lineRule="auto"/>
        <w:ind w:firstLine="284"/>
        <w:jc w:val="both"/>
      </w:pPr>
      <w:r>
        <w:t xml:space="preserve">The results lend </w:t>
      </w:r>
      <w:r w:rsidR="006413C5">
        <w:t>further support</w:t>
      </w:r>
      <w:r>
        <w:t xml:space="preserve"> to </w:t>
      </w:r>
      <w:proofErr w:type="gramStart"/>
      <w:r>
        <w:t>H3b,</w:t>
      </w:r>
      <w:proofErr w:type="gramEnd"/>
      <w:r w:rsidR="00303B6C" w:rsidRPr="00FD2CA7">
        <w:t xml:space="preserve"> </w:t>
      </w:r>
      <w:r w:rsidR="00594761">
        <w:t xml:space="preserve">thus, </w:t>
      </w:r>
      <w:r w:rsidR="00616E94">
        <w:t xml:space="preserve">the option of abandonment </w:t>
      </w:r>
      <w:r w:rsidR="00303B6C">
        <w:t>is</w:t>
      </w:r>
      <w:r w:rsidR="00303B6C" w:rsidRPr="00FD2CA7">
        <w:t xml:space="preserve"> not recommended.</w:t>
      </w:r>
      <w:r w:rsidR="00A64AE6">
        <w:t xml:space="preserve"> For the above Fig. 4a and 4b, provide coherent argument and further explanations.</w:t>
      </w:r>
    </w:p>
    <w:p w14:paraId="1B72CF97" w14:textId="2817E269" w:rsidR="000F2A90" w:rsidRDefault="009B5DAC" w:rsidP="000F2A90">
      <w:pPr>
        <w:spacing w:before="120" w:line="480" w:lineRule="auto"/>
        <w:jc w:val="both"/>
      </w:pPr>
      <w:r>
        <w:rPr>
          <w:color w:val="000000" w:themeColor="text1"/>
        </w:rPr>
        <w:t xml:space="preserve">      </w:t>
      </w:r>
      <w:r w:rsidR="000F2A90" w:rsidRPr="008B30DF">
        <w:rPr>
          <w:color w:val="000000" w:themeColor="text1"/>
        </w:rPr>
        <w:t xml:space="preserve">Table </w:t>
      </w:r>
      <w:r w:rsidR="000F2A90">
        <w:rPr>
          <w:color w:val="000000" w:themeColor="text1"/>
        </w:rPr>
        <w:t>2</w:t>
      </w:r>
      <w:r w:rsidR="00601906">
        <w:rPr>
          <w:color w:val="000000" w:themeColor="text1"/>
        </w:rPr>
        <w:t xml:space="preserve"> </w:t>
      </w:r>
      <w:r w:rsidR="00303B6C">
        <w:rPr>
          <w:color w:val="000000" w:themeColor="text1"/>
        </w:rPr>
        <w:t>Real</w:t>
      </w:r>
      <w:r w:rsidR="00601906">
        <w:rPr>
          <w:color w:val="000000" w:themeColor="text1"/>
        </w:rPr>
        <w:t xml:space="preserve"> </w:t>
      </w:r>
      <w:r w:rsidR="000F2A90" w:rsidRPr="008B30DF">
        <w:rPr>
          <w:color w:val="000000" w:themeColor="text1"/>
        </w:rPr>
        <w:t>option</w:t>
      </w:r>
      <w:r w:rsidR="000F2A90">
        <w:rPr>
          <w:color w:val="000000" w:themeColor="text1"/>
        </w:rPr>
        <w:t>s</w:t>
      </w:r>
      <w:r w:rsidR="000F2A90" w:rsidRPr="008B30DF">
        <w:rPr>
          <w:color w:val="000000" w:themeColor="text1"/>
        </w:rPr>
        <w:t xml:space="preserve"> in sequential </w:t>
      </w:r>
      <w:r w:rsidR="000F2A90">
        <w:rPr>
          <w:color w:val="000000" w:themeColor="text1"/>
        </w:rPr>
        <w:t xml:space="preserve">D </w:t>
      </w:r>
      <w:r w:rsidR="000F2A90" w:rsidRPr="008B30DF">
        <w:rPr>
          <w:color w:val="000000" w:themeColor="text1"/>
        </w:rPr>
        <w:t xml:space="preserve">and </w:t>
      </w:r>
      <w:r w:rsidR="000F2A90">
        <w:rPr>
          <w:color w:val="000000" w:themeColor="text1"/>
        </w:rPr>
        <w:t>E</w:t>
      </w:r>
      <w:r w:rsidR="000F2A90" w:rsidRPr="008B30DF">
        <w:rPr>
          <w:color w:val="000000" w:themeColor="text1"/>
        </w:rPr>
        <w:t xml:space="preserve"> projects</w:t>
      </w:r>
    </w:p>
    <w:tbl>
      <w:tblPr>
        <w:tblW w:w="8080" w:type="dxa"/>
        <w:tblInd w:w="284" w:type="dxa"/>
        <w:tblLayout w:type="fixed"/>
        <w:tblLook w:val="04A0" w:firstRow="1" w:lastRow="0" w:firstColumn="1" w:lastColumn="0" w:noHBand="0" w:noVBand="1"/>
      </w:tblPr>
      <w:tblGrid>
        <w:gridCol w:w="2127"/>
        <w:gridCol w:w="851"/>
        <w:gridCol w:w="992"/>
        <w:gridCol w:w="756"/>
        <w:gridCol w:w="992"/>
        <w:gridCol w:w="899"/>
        <w:gridCol w:w="1463"/>
      </w:tblGrid>
      <w:tr w:rsidR="000F2A90" w:rsidRPr="00D0029F" w14:paraId="4BA56D72" w14:textId="77777777" w:rsidTr="00AE6602">
        <w:trPr>
          <w:trHeight w:val="320"/>
        </w:trPr>
        <w:tc>
          <w:tcPr>
            <w:tcW w:w="2127" w:type="dxa"/>
            <w:tcBorders>
              <w:top w:val="single" w:sz="2" w:space="0" w:color="auto"/>
              <w:left w:val="nil"/>
              <w:bottom w:val="single" w:sz="2" w:space="0" w:color="auto"/>
              <w:right w:val="nil"/>
            </w:tcBorders>
            <w:shd w:val="clear" w:color="auto" w:fill="auto"/>
            <w:noWrap/>
            <w:vAlign w:val="bottom"/>
            <w:hideMark/>
          </w:tcPr>
          <w:p w14:paraId="1E929352" w14:textId="77777777" w:rsidR="000F2A90" w:rsidRPr="00D0029F" w:rsidRDefault="000F2A90" w:rsidP="003D7A29">
            <w:pPr>
              <w:spacing w:line="480" w:lineRule="auto"/>
              <w:rPr>
                <w:b/>
                <w:bCs/>
                <w:sz w:val="20"/>
                <w:szCs w:val="20"/>
              </w:rPr>
            </w:pPr>
          </w:p>
        </w:tc>
        <w:tc>
          <w:tcPr>
            <w:tcW w:w="851" w:type="dxa"/>
            <w:tcBorders>
              <w:top w:val="single" w:sz="2" w:space="0" w:color="auto"/>
              <w:left w:val="nil"/>
              <w:bottom w:val="single" w:sz="2" w:space="0" w:color="auto"/>
              <w:right w:val="nil"/>
            </w:tcBorders>
            <w:shd w:val="clear" w:color="auto" w:fill="auto"/>
            <w:noWrap/>
            <w:vAlign w:val="bottom"/>
            <w:hideMark/>
          </w:tcPr>
          <w:p w14:paraId="782A84DB" w14:textId="77777777" w:rsidR="000F2A90" w:rsidRPr="00D0029F" w:rsidRDefault="000F2A90" w:rsidP="003D7A29">
            <w:pPr>
              <w:spacing w:line="480" w:lineRule="auto"/>
              <w:rPr>
                <w:b/>
                <w:bCs/>
                <w:color w:val="000000"/>
                <w:sz w:val="22"/>
                <w:szCs w:val="22"/>
              </w:rPr>
            </w:pPr>
            <w:r w:rsidRPr="00266E4F">
              <w:rPr>
                <w:b/>
                <w:bCs/>
                <w:i/>
                <w:iCs/>
                <w:color w:val="000000"/>
                <w:sz w:val="22"/>
                <w:szCs w:val="22"/>
              </w:rPr>
              <w:t>V</w:t>
            </w:r>
            <w:r w:rsidRPr="00C076C8">
              <w:rPr>
                <w:b/>
                <w:bCs/>
                <w:i/>
                <w:iCs/>
                <w:color w:val="000000"/>
                <w:sz w:val="22"/>
                <w:szCs w:val="22"/>
              </w:rPr>
              <w:t>t</w:t>
            </w:r>
          </w:p>
        </w:tc>
        <w:tc>
          <w:tcPr>
            <w:tcW w:w="992" w:type="dxa"/>
            <w:tcBorders>
              <w:top w:val="single" w:sz="2" w:space="0" w:color="auto"/>
              <w:left w:val="nil"/>
              <w:bottom w:val="single" w:sz="2" w:space="0" w:color="auto"/>
              <w:right w:val="nil"/>
            </w:tcBorders>
            <w:shd w:val="clear" w:color="auto" w:fill="auto"/>
            <w:noWrap/>
            <w:vAlign w:val="bottom"/>
            <w:hideMark/>
          </w:tcPr>
          <w:p w14:paraId="1237BE1F" w14:textId="77777777" w:rsidR="000F2A90" w:rsidRPr="00D0029F" w:rsidRDefault="000F2A90" w:rsidP="003D7A29">
            <w:pPr>
              <w:spacing w:line="480" w:lineRule="auto"/>
              <w:ind w:right="-233"/>
              <w:rPr>
                <w:b/>
                <w:bCs/>
                <w:color w:val="000000"/>
                <w:sz w:val="22"/>
                <w:szCs w:val="22"/>
              </w:rPr>
            </w:pPr>
            <w:r>
              <w:rPr>
                <w:b/>
                <w:bCs/>
                <w:i/>
                <w:iCs/>
                <w:color w:val="000000"/>
                <w:sz w:val="22"/>
                <w:szCs w:val="22"/>
              </w:rPr>
              <w:t>I</w:t>
            </w:r>
            <w:r w:rsidRPr="00266E4F">
              <w:rPr>
                <w:b/>
                <w:bCs/>
                <w:color w:val="000000"/>
                <w:sz w:val="22"/>
                <w:szCs w:val="22"/>
                <w:vertAlign w:val="subscript"/>
              </w:rPr>
              <w:t>0</w:t>
            </w:r>
          </w:p>
        </w:tc>
        <w:tc>
          <w:tcPr>
            <w:tcW w:w="756" w:type="dxa"/>
            <w:tcBorders>
              <w:top w:val="single" w:sz="2" w:space="0" w:color="auto"/>
              <w:left w:val="nil"/>
              <w:bottom w:val="single" w:sz="2" w:space="0" w:color="auto"/>
              <w:right w:val="nil"/>
            </w:tcBorders>
            <w:shd w:val="clear" w:color="auto" w:fill="auto"/>
            <w:noWrap/>
            <w:vAlign w:val="bottom"/>
            <w:hideMark/>
          </w:tcPr>
          <w:p w14:paraId="7F8568C6" w14:textId="77777777" w:rsidR="000F2A90" w:rsidRPr="00D0029F" w:rsidRDefault="000F2A90" w:rsidP="003D7A29">
            <w:pPr>
              <w:spacing w:line="480" w:lineRule="auto"/>
              <w:rPr>
                <w:b/>
                <w:bCs/>
                <w:sz w:val="22"/>
                <w:szCs w:val="22"/>
              </w:rPr>
            </w:pPr>
            <w:r w:rsidRPr="00266E4F">
              <w:rPr>
                <w:b/>
                <w:bCs/>
                <w:i/>
                <w:iCs/>
                <w:sz w:val="22"/>
                <w:szCs w:val="22"/>
              </w:rPr>
              <w:t>C</w:t>
            </w:r>
            <w:r w:rsidRPr="00266E4F">
              <w:rPr>
                <w:b/>
                <w:bCs/>
                <w:sz w:val="22"/>
                <w:szCs w:val="22"/>
                <w:vertAlign w:val="subscript"/>
              </w:rPr>
              <w:t>0</w:t>
            </w:r>
          </w:p>
        </w:tc>
        <w:tc>
          <w:tcPr>
            <w:tcW w:w="992" w:type="dxa"/>
            <w:tcBorders>
              <w:top w:val="single" w:sz="2" w:space="0" w:color="auto"/>
              <w:left w:val="nil"/>
              <w:bottom w:val="single" w:sz="2" w:space="0" w:color="auto"/>
              <w:right w:val="nil"/>
            </w:tcBorders>
            <w:shd w:val="clear" w:color="auto" w:fill="auto"/>
            <w:noWrap/>
            <w:vAlign w:val="bottom"/>
            <w:hideMark/>
          </w:tcPr>
          <w:p w14:paraId="3C117901" w14:textId="77777777" w:rsidR="000F2A90" w:rsidRPr="00D0029F" w:rsidRDefault="000F2A90" w:rsidP="003D7A29">
            <w:pPr>
              <w:spacing w:line="480" w:lineRule="auto"/>
              <w:rPr>
                <w:b/>
                <w:bCs/>
                <w:sz w:val="22"/>
                <w:szCs w:val="22"/>
              </w:rPr>
            </w:pPr>
            <w:r w:rsidRPr="00266E4F">
              <w:rPr>
                <w:b/>
                <w:bCs/>
                <w:i/>
                <w:iCs/>
                <w:sz w:val="22"/>
                <w:szCs w:val="22"/>
              </w:rPr>
              <w:t>C</w:t>
            </w:r>
            <w:r w:rsidRPr="00266E4F">
              <w:rPr>
                <w:b/>
                <w:bCs/>
                <w:sz w:val="22"/>
                <w:szCs w:val="22"/>
                <w:vertAlign w:val="subscript"/>
              </w:rPr>
              <w:t>A</w:t>
            </w:r>
          </w:p>
        </w:tc>
        <w:tc>
          <w:tcPr>
            <w:tcW w:w="899" w:type="dxa"/>
            <w:tcBorders>
              <w:top w:val="single" w:sz="2" w:space="0" w:color="auto"/>
              <w:left w:val="nil"/>
              <w:bottom w:val="single" w:sz="2" w:space="0" w:color="auto"/>
              <w:right w:val="nil"/>
            </w:tcBorders>
            <w:shd w:val="clear" w:color="auto" w:fill="auto"/>
            <w:noWrap/>
            <w:vAlign w:val="bottom"/>
            <w:hideMark/>
          </w:tcPr>
          <w:p w14:paraId="055BE59F" w14:textId="77777777" w:rsidR="000F2A90" w:rsidRPr="00D0029F" w:rsidRDefault="000F2A90" w:rsidP="003D7A29">
            <w:pPr>
              <w:spacing w:line="480" w:lineRule="auto"/>
              <w:rPr>
                <w:b/>
                <w:bCs/>
                <w:sz w:val="22"/>
                <w:szCs w:val="22"/>
              </w:rPr>
            </w:pPr>
            <w:r w:rsidRPr="00D0029F">
              <w:rPr>
                <w:b/>
                <w:bCs/>
                <w:sz w:val="22"/>
                <w:szCs w:val="22"/>
              </w:rPr>
              <w:t>FNPV</w:t>
            </w:r>
          </w:p>
        </w:tc>
        <w:tc>
          <w:tcPr>
            <w:tcW w:w="1463" w:type="dxa"/>
            <w:tcBorders>
              <w:top w:val="single" w:sz="2" w:space="0" w:color="auto"/>
              <w:left w:val="nil"/>
              <w:bottom w:val="single" w:sz="2" w:space="0" w:color="auto"/>
              <w:right w:val="nil"/>
            </w:tcBorders>
            <w:shd w:val="clear" w:color="auto" w:fill="auto"/>
            <w:noWrap/>
            <w:vAlign w:val="bottom"/>
            <w:hideMark/>
          </w:tcPr>
          <w:p w14:paraId="3184B877" w14:textId="77777777" w:rsidR="000F2A90" w:rsidRPr="00D0029F" w:rsidRDefault="000F2A90" w:rsidP="003D7A29">
            <w:pPr>
              <w:spacing w:line="480" w:lineRule="auto"/>
              <w:rPr>
                <w:b/>
                <w:bCs/>
                <w:sz w:val="22"/>
                <w:szCs w:val="22"/>
              </w:rPr>
            </w:pPr>
            <w:r w:rsidRPr="00D0029F">
              <w:rPr>
                <w:b/>
                <w:bCs/>
                <w:sz w:val="22"/>
                <w:szCs w:val="22"/>
              </w:rPr>
              <w:t>Decision</w:t>
            </w:r>
          </w:p>
        </w:tc>
      </w:tr>
      <w:tr w:rsidR="000F2A90" w:rsidRPr="00325A0C" w14:paraId="4242E7E3" w14:textId="77777777" w:rsidTr="00AE6602">
        <w:trPr>
          <w:trHeight w:val="320"/>
        </w:trPr>
        <w:tc>
          <w:tcPr>
            <w:tcW w:w="2127" w:type="dxa"/>
            <w:tcBorders>
              <w:top w:val="single" w:sz="2" w:space="0" w:color="auto"/>
              <w:left w:val="nil"/>
              <w:bottom w:val="nil"/>
              <w:right w:val="nil"/>
            </w:tcBorders>
            <w:shd w:val="clear" w:color="auto" w:fill="auto"/>
            <w:noWrap/>
            <w:vAlign w:val="bottom"/>
            <w:hideMark/>
          </w:tcPr>
          <w:p w14:paraId="24647B71" w14:textId="77777777" w:rsidR="000F2A90" w:rsidRPr="00325A0C" w:rsidRDefault="000F2A90" w:rsidP="003D7A29">
            <w:pPr>
              <w:spacing w:line="480" w:lineRule="auto"/>
              <w:rPr>
                <w:color w:val="000000"/>
                <w:sz w:val="22"/>
                <w:szCs w:val="22"/>
              </w:rPr>
            </w:pPr>
            <w:r w:rsidRPr="00325A0C">
              <w:rPr>
                <w:color w:val="000000"/>
                <w:sz w:val="22"/>
                <w:szCs w:val="22"/>
              </w:rPr>
              <w:t xml:space="preserve">Project </w:t>
            </w:r>
            <w:r>
              <w:rPr>
                <w:color w:val="000000"/>
                <w:sz w:val="22"/>
                <w:szCs w:val="22"/>
              </w:rPr>
              <w:t>D (</w:t>
            </w:r>
            <w:r w:rsidRPr="00325A0C">
              <w:rPr>
                <w:color w:val="000000"/>
                <w:sz w:val="22"/>
                <w:szCs w:val="22"/>
              </w:rPr>
              <w:t>Defer</w:t>
            </w:r>
            <w:r>
              <w:rPr>
                <w:color w:val="000000"/>
                <w:sz w:val="22"/>
                <w:szCs w:val="22"/>
              </w:rPr>
              <w:t xml:space="preserve">) </w:t>
            </w:r>
          </w:p>
        </w:tc>
        <w:tc>
          <w:tcPr>
            <w:tcW w:w="851" w:type="dxa"/>
            <w:tcBorders>
              <w:top w:val="single" w:sz="2" w:space="0" w:color="auto"/>
              <w:left w:val="nil"/>
              <w:bottom w:val="nil"/>
              <w:right w:val="nil"/>
            </w:tcBorders>
            <w:shd w:val="clear" w:color="auto" w:fill="auto"/>
            <w:noWrap/>
            <w:vAlign w:val="bottom"/>
            <w:hideMark/>
          </w:tcPr>
          <w:p w14:paraId="3DE06D66" w14:textId="77777777" w:rsidR="000F2A90" w:rsidRPr="00325A0C" w:rsidRDefault="000F2A90" w:rsidP="003D7A29">
            <w:pPr>
              <w:spacing w:line="480" w:lineRule="auto"/>
              <w:rPr>
                <w:color w:val="000000"/>
                <w:sz w:val="22"/>
                <w:szCs w:val="22"/>
              </w:rPr>
            </w:pPr>
            <w:r w:rsidRPr="00325A0C">
              <w:rPr>
                <w:color w:val="000000"/>
                <w:sz w:val="22"/>
                <w:szCs w:val="22"/>
              </w:rPr>
              <w:t>300</w:t>
            </w:r>
          </w:p>
        </w:tc>
        <w:tc>
          <w:tcPr>
            <w:tcW w:w="992" w:type="dxa"/>
            <w:tcBorders>
              <w:top w:val="single" w:sz="2" w:space="0" w:color="auto"/>
              <w:left w:val="nil"/>
              <w:bottom w:val="nil"/>
              <w:right w:val="nil"/>
            </w:tcBorders>
            <w:shd w:val="clear" w:color="auto" w:fill="auto"/>
            <w:noWrap/>
            <w:vAlign w:val="bottom"/>
            <w:hideMark/>
          </w:tcPr>
          <w:p w14:paraId="65D1C99B" w14:textId="77777777" w:rsidR="000F2A90" w:rsidRPr="00325A0C" w:rsidRDefault="000F2A90" w:rsidP="003D7A29">
            <w:pPr>
              <w:spacing w:line="480" w:lineRule="auto"/>
              <w:ind w:right="-233"/>
              <w:rPr>
                <w:color w:val="000000"/>
                <w:sz w:val="22"/>
                <w:szCs w:val="22"/>
              </w:rPr>
            </w:pPr>
            <w:r w:rsidRPr="00325A0C">
              <w:rPr>
                <w:color w:val="000000"/>
                <w:sz w:val="22"/>
                <w:szCs w:val="22"/>
              </w:rPr>
              <w:t>320</w:t>
            </w:r>
          </w:p>
        </w:tc>
        <w:tc>
          <w:tcPr>
            <w:tcW w:w="756" w:type="dxa"/>
            <w:tcBorders>
              <w:top w:val="single" w:sz="2" w:space="0" w:color="auto"/>
              <w:left w:val="nil"/>
              <w:bottom w:val="nil"/>
              <w:right w:val="nil"/>
            </w:tcBorders>
            <w:shd w:val="clear" w:color="auto" w:fill="auto"/>
            <w:noWrap/>
            <w:vAlign w:val="bottom"/>
            <w:hideMark/>
          </w:tcPr>
          <w:p w14:paraId="3C301A32" w14:textId="77777777" w:rsidR="000F2A90" w:rsidRPr="00325A0C" w:rsidRDefault="000F2A90" w:rsidP="003D7A29">
            <w:pPr>
              <w:spacing w:line="480" w:lineRule="auto"/>
              <w:rPr>
                <w:color w:val="000000"/>
                <w:sz w:val="22"/>
                <w:szCs w:val="22"/>
              </w:rPr>
            </w:pPr>
            <w:r w:rsidRPr="00325A0C">
              <w:rPr>
                <w:color w:val="000000"/>
                <w:sz w:val="22"/>
                <w:szCs w:val="22"/>
              </w:rPr>
              <w:t>77</w:t>
            </w:r>
          </w:p>
        </w:tc>
        <w:tc>
          <w:tcPr>
            <w:tcW w:w="992" w:type="dxa"/>
            <w:tcBorders>
              <w:top w:val="single" w:sz="2" w:space="0" w:color="auto"/>
              <w:left w:val="nil"/>
              <w:bottom w:val="nil"/>
              <w:right w:val="nil"/>
            </w:tcBorders>
            <w:shd w:val="clear" w:color="auto" w:fill="auto"/>
            <w:noWrap/>
            <w:vAlign w:val="bottom"/>
            <w:hideMark/>
          </w:tcPr>
          <w:p w14:paraId="1C69D6AB" w14:textId="77777777" w:rsidR="000F2A90" w:rsidRPr="00325A0C" w:rsidRDefault="000F2A90" w:rsidP="003D7A29">
            <w:pPr>
              <w:spacing w:line="480" w:lineRule="auto"/>
              <w:rPr>
                <w:color w:val="000000"/>
                <w:sz w:val="22"/>
                <w:szCs w:val="22"/>
              </w:rPr>
            </w:pPr>
            <w:r w:rsidRPr="00325A0C">
              <w:rPr>
                <w:color w:val="000000"/>
                <w:sz w:val="22"/>
                <w:szCs w:val="22"/>
              </w:rPr>
              <w:t>47</w:t>
            </w:r>
          </w:p>
        </w:tc>
        <w:tc>
          <w:tcPr>
            <w:tcW w:w="899" w:type="dxa"/>
            <w:tcBorders>
              <w:top w:val="single" w:sz="2" w:space="0" w:color="auto"/>
              <w:left w:val="nil"/>
              <w:bottom w:val="nil"/>
              <w:right w:val="nil"/>
            </w:tcBorders>
            <w:shd w:val="clear" w:color="auto" w:fill="auto"/>
            <w:noWrap/>
            <w:vAlign w:val="bottom"/>
            <w:hideMark/>
          </w:tcPr>
          <w:p w14:paraId="235D242E" w14:textId="77777777" w:rsidR="000F2A90" w:rsidRPr="00325A0C" w:rsidRDefault="000F2A90" w:rsidP="003D7A29">
            <w:pPr>
              <w:spacing w:line="480" w:lineRule="auto"/>
              <w:rPr>
                <w:color w:val="000000"/>
                <w:sz w:val="22"/>
                <w:szCs w:val="22"/>
              </w:rPr>
            </w:pPr>
            <w:r w:rsidRPr="00325A0C">
              <w:rPr>
                <w:color w:val="000000"/>
                <w:sz w:val="22"/>
                <w:szCs w:val="22"/>
              </w:rPr>
              <w:t>30</w:t>
            </w:r>
          </w:p>
        </w:tc>
        <w:tc>
          <w:tcPr>
            <w:tcW w:w="1463" w:type="dxa"/>
            <w:tcBorders>
              <w:top w:val="single" w:sz="2" w:space="0" w:color="auto"/>
              <w:left w:val="nil"/>
              <w:bottom w:val="nil"/>
              <w:right w:val="nil"/>
            </w:tcBorders>
            <w:shd w:val="clear" w:color="auto" w:fill="auto"/>
            <w:noWrap/>
            <w:vAlign w:val="bottom"/>
            <w:hideMark/>
          </w:tcPr>
          <w:p w14:paraId="4741CC2E" w14:textId="77777777" w:rsidR="000F2A90" w:rsidRPr="00325A0C" w:rsidRDefault="000F2A90" w:rsidP="003D7A29">
            <w:pPr>
              <w:spacing w:line="480" w:lineRule="auto"/>
              <w:rPr>
                <w:color w:val="000000"/>
                <w:sz w:val="22"/>
                <w:szCs w:val="22"/>
              </w:rPr>
            </w:pPr>
            <w:r>
              <w:rPr>
                <w:color w:val="000000"/>
                <w:sz w:val="22"/>
                <w:szCs w:val="22"/>
              </w:rPr>
              <w:t>Recommend</w:t>
            </w:r>
            <w:r w:rsidRPr="00325A0C">
              <w:rPr>
                <w:color w:val="000000"/>
                <w:sz w:val="22"/>
                <w:szCs w:val="22"/>
              </w:rPr>
              <w:t xml:space="preserve"> </w:t>
            </w:r>
          </w:p>
        </w:tc>
      </w:tr>
      <w:tr w:rsidR="000F2A90" w:rsidRPr="00325A0C" w14:paraId="011CD710" w14:textId="77777777" w:rsidTr="00AE6602">
        <w:trPr>
          <w:trHeight w:val="320"/>
        </w:trPr>
        <w:tc>
          <w:tcPr>
            <w:tcW w:w="2127" w:type="dxa"/>
            <w:tcBorders>
              <w:top w:val="nil"/>
              <w:left w:val="nil"/>
              <w:bottom w:val="single" w:sz="2" w:space="0" w:color="auto"/>
              <w:right w:val="nil"/>
            </w:tcBorders>
            <w:shd w:val="clear" w:color="auto" w:fill="auto"/>
            <w:noWrap/>
            <w:vAlign w:val="bottom"/>
            <w:hideMark/>
          </w:tcPr>
          <w:p w14:paraId="1BC6CDE1" w14:textId="77777777" w:rsidR="000F2A90" w:rsidRPr="00325A0C" w:rsidRDefault="000F2A90" w:rsidP="003D7A29">
            <w:pPr>
              <w:spacing w:line="480" w:lineRule="auto"/>
              <w:rPr>
                <w:color w:val="000000"/>
                <w:sz w:val="22"/>
                <w:szCs w:val="22"/>
              </w:rPr>
            </w:pPr>
            <w:r w:rsidRPr="00325A0C">
              <w:rPr>
                <w:color w:val="000000"/>
                <w:sz w:val="22"/>
                <w:szCs w:val="22"/>
              </w:rPr>
              <w:t xml:space="preserve">Project </w:t>
            </w:r>
            <w:r>
              <w:rPr>
                <w:color w:val="000000"/>
                <w:sz w:val="22"/>
                <w:szCs w:val="22"/>
              </w:rPr>
              <w:t>E (</w:t>
            </w:r>
            <w:r w:rsidRPr="00325A0C">
              <w:rPr>
                <w:color w:val="000000"/>
                <w:sz w:val="22"/>
                <w:szCs w:val="22"/>
              </w:rPr>
              <w:t>Aba</w:t>
            </w:r>
            <w:r>
              <w:rPr>
                <w:color w:val="000000"/>
                <w:sz w:val="22"/>
                <w:szCs w:val="22"/>
              </w:rPr>
              <w:t>n</w:t>
            </w:r>
            <w:r w:rsidRPr="00325A0C">
              <w:rPr>
                <w:color w:val="000000"/>
                <w:sz w:val="22"/>
                <w:szCs w:val="22"/>
              </w:rPr>
              <w:t>don</w:t>
            </w:r>
            <w:r>
              <w:rPr>
                <w:color w:val="000000"/>
                <w:sz w:val="22"/>
                <w:szCs w:val="22"/>
              </w:rPr>
              <w:t>)</w:t>
            </w:r>
          </w:p>
        </w:tc>
        <w:tc>
          <w:tcPr>
            <w:tcW w:w="851" w:type="dxa"/>
            <w:tcBorders>
              <w:top w:val="nil"/>
              <w:left w:val="nil"/>
              <w:bottom w:val="single" w:sz="2" w:space="0" w:color="auto"/>
              <w:right w:val="nil"/>
            </w:tcBorders>
            <w:shd w:val="clear" w:color="auto" w:fill="auto"/>
            <w:noWrap/>
            <w:vAlign w:val="bottom"/>
            <w:hideMark/>
          </w:tcPr>
          <w:p w14:paraId="34D4DF1F" w14:textId="77777777" w:rsidR="000F2A90" w:rsidRPr="00325A0C" w:rsidRDefault="000F2A90" w:rsidP="003D7A29">
            <w:pPr>
              <w:spacing w:line="480" w:lineRule="auto"/>
              <w:rPr>
                <w:color w:val="000000"/>
                <w:sz w:val="22"/>
                <w:szCs w:val="22"/>
              </w:rPr>
            </w:pPr>
            <w:r w:rsidRPr="00325A0C">
              <w:rPr>
                <w:color w:val="000000"/>
                <w:sz w:val="22"/>
                <w:szCs w:val="22"/>
              </w:rPr>
              <w:t>200</w:t>
            </w:r>
          </w:p>
        </w:tc>
        <w:tc>
          <w:tcPr>
            <w:tcW w:w="992" w:type="dxa"/>
            <w:tcBorders>
              <w:top w:val="nil"/>
              <w:left w:val="nil"/>
              <w:bottom w:val="single" w:sz="2" w:space="0" w:color="auto"/>
              <w:right w:val="nil"/>
            </w:tcBorders>
            <w:shd w:val="clear" w:color="auto" w:fill="auto"/>
            <w:noWrap/>
            <w:vAlign w:val="bottom"/>
            <w:hideMark/>
          </w:tcPr>
          <w:p w14:paraId="65806C72" w14:textId="77777777" w:rsidR="000F2A90" w:rsidRPr="00325A0C" w:rsidRDefault="000F2A90" w:rsidP="003D7A29">
            <w:pPr>
              <w:spacing w:line="480" w:lineRule="auto"/>
              <w:ind w:right="-233"/>
              <w:rPr>
                <w:color w:val="000000"/>
                <w:sz w:val="22"/>
                <w:szCs w:val="22"/>
              </w:rPr>
            </w:pPr>
            <w:r w:rsidRPr="00325A0C">
              <w:rPr>
                <w:color w:val="000000"/>
                <w:sz w:val="22"/>
                <w:szCs w:val="22"/>
              </w:rPr>
              <w:t>150</w:t>
            </w:r>
          </w:p>
        </w:tc>
        <w:tc>
          <w:tcPr>
            <w:tcW w:w="756" w:type="dxa"/>
            <w:tcBorders>
              <w:top w:val="nil"/>
              <w:left w:val="nil"/>
              <w:bottom w:val="single" w:sz="2" w:space="0" w:color="auto"/>
              <w:right w:val="nil"/>
            </w:tcBorders>
            <w:shd w:val="clear" w:color="auto" w:fill="auto"/>
            <w:noWrap/>
            <w:vAlign w:val="bottom"/>
            <w:hideMark/>
          </w:tcPr>
          <w:p w14:paraId="0ACD367F" w14:textId="77777777" w:rsidR="000F2A90" w:rsidRPr="00325A0C" w:rsidRDefault="000F2A90" w:rsidP="003D7A29">
            <w:pPr>
              <w:spacing w:line="480" w:lineRule="auto"/>
              <w:rPr>
                <w:color w:val="000000"/>
                <w:sz w:val="22"/>
                <w:szCs w:val="22"/>
              </w:rPr>
            </w:pPr>
            <w:r w:rsidRPr="00325A0C">
              <w:rPr>
                <w:color w:val="000000"/>
                <w:sz w:val="22"/>
                <w:szCs w:val="22"/>
              </w:rPr>
              <w:t>19</w:t>
            </w:r>
          </w:p>
        </w:tc>
        <w:tc>
          <w:tcPr>
            <w:tcW w:w="992" w:type="dxa"/>
            <w:tcBorders>
              <w:top w:val="nil"/>
              <w:left w:val="nil"/>
              <w:bottom w:val="single" w:sz="2" w:space="0" w:color="auto"/>
              <w:right w:val="nil"/>
            </w:tcBorders>
            <w:shd w:val="clear" w:color="auto" w:fill="auto"/>
            <w:noWrap/>
            <w:vAlign w:val="bottom"/>
            <w:hideMark/>
          </w:tcPr>
          <w:p w14:paraId="7DB05AE2" w14:textId="77777777" w:rsidR="000F2A90" w:rsidRPr="00325A0C" w:rsidRDefault="000F2A90" w:rsidP="003D7A29">
            <w:pPr>
              <w:spacing w:line="480" w:lineRule="auto"/>
              <w:rPr>
                <w:color w:val="000000"/>
                <w:sz w:val="22"/>
                <w:szCs w:val="22"/>
              </w:rPr>
            </w:pPr>
            <w:r w:rsidRPr="00325A0C">
              <w:rPr>
                <w:color w:val="000000"/>
                <w:sz w:val="22"/>
                <w:szCs w:val="22"/>
              </w:rPr>
              <w:t>62</w:t>
            </w:r>
          </w:p>
        </w:tc>
        <w:tc>
          <w:tcPr>
            <w:tcW w:w="899" w:type="dxa"/>
            <w:tcBorders>
              <w:top w:val="nil"/>
              <w:left w:val="nil"/>
              <w:bottom w:val="single" w:sz="2" w:space="0" w:color="auto"/>
              <w:right w:val="nil"/>
            </w:tcBorders>
            <w:shd w:val="clear" w:color="auto" w:fill="auto"/>
            <w:noWrap/>
            <w:vAlign w:val="bottom"/>
            <w:hideMark/>
          </w:tcPr>
          <w:p w14:paraId="719B8B81" w14:textId="77777777" w:rsidR="000F2A90" w:rsidRPr="00325A0C" w:rsidRDefault="000F2A90" w:rsidP="003D7A29">
            <w:pPr>
              <w:spacing w:line="480" w:lineRule="auto"/>
              <w:rPr>
                <w:color w:val="000000"/>
                <w:sz w:val="22"/>
                <w:szCs w:val="22"/>
              </w:rPr>
            </w:pPr>
            <w:r w:rsidRPr="00325A0C">
              <w:rPr>
                <w:color w:val="000000"/>
                <w:sz w:val="22"/>
                <w:szCs w:val="22"/>
              </w:rPr>
              <w:t>-43</w:t>
            </w:r>
          </w:p>
        </w:tc>
        <w:tc>
          <w:tcPr>
            <w:tcW w:w="1463" w:type="dxa"/>
            <w:tcBorders>
              <w:top w:val="nil"/>
              <w:left w:val="nil"/>
              <w:bottom w:val="single" w:sz="2" w:space="0" w:color="auto"/>
              <w:right w:val="nil"/>
            </w:tcBorders>
            <w:shd w:val="clear" w:color="auto" w:fill="auto"/>
            <w:noWrap/>
            <w:vAlign w:val="bottom"/>
            <w:hideMark/>
          </w:tcPr>
          <w:p w14:paraId="7743DA5B" w14:textId="77777777" w:rsidR="000F2A90" w:rsidRPr="00325A0C" w:rsidRDefault="000F2A90" w:rsidP="003D7A29">
            <w:pPr>
              <w:spacing w:line="480" w:lineRule="auto"/>
              <w:rPr>
                <w:color w:val="000000"/>
                <w:sz w:val="22"/>
                <w:szCs w:val="22"/>
              </w:rPr>
            </w:pPr>
            <w:r w:rsidRPr="00325A0C">
              <w:rPr>
                <w:color w:val="000000"/>
                <w:sz w:val="22"/>
                <w:szCs w:val="22"/>
              </w:rPr>
              <w:t xml:space="preserve">Reject </w:t>
            </w:r>
          </w:p>
        </w:tc>
      </w:tr>
    </w:tbl>
    <w:p w14:paraId="3B46F476" w14:textId="0115B63A" w:rsidR="004B1FCF" w:rsidRDefault="004B1FCF" w:rsidP="0089360D">
      <w:pPr>
        <w:pStyle w:val="NormalWeb"/>
        <w:spacing w:before="120" w:beforeAutospacing="0" w:after="0" w:afterAutospacing="0" w:line="480" w:lineRule="auto"/>
        <w:ind w:firstLine="284"/>
        <w:jc w:val="both"/>
      </w:pPr>
      <w:r>
        <w:t xml:space="preserve">To continue, </w:t>
      </w:r>
      <w:r w:rsidR="009409BC">
        <w:t>w</w:t>
      </w:r>
      <w:r w:rsidRPr="009D475C">
        <w:t>e</w:t>
      </w:r>
      <w:r>
        <w:t xml:space="preserve"> </w:t>
      </w:r>
      <w:r w:rsidRPr="009D475C">
        <w:t>combine both elements (compound exchange options) in the analy</w:t>
      </w:r>
      <w:r>
        <w:t xml:space="preserve">sis, </w:t>
      </w:r>
      <w:r w:rsidRPr="009D475C">
        <w:t xml:space="preserve">by (European) call options, </w:t>
      </w:r>
      <w:r w:rsidRPr="009D475C">
        <w:rPr>
          <w:i/>
        </w:rPr>
        <w:t>C</w:t>
      </w:r>
      <w:r w:rsidRPr="009D475C">
        <w:t>(</w:t>
      </w:r>
      <w:r w:rsidRPr="009D475C">
        <w:rPr>
          <w:i/>
        </w:rPr>
        <w:t>S</w:t>
      </w:r>
      <w:r w:rsidRPr="009D475C">
        <w:t>(</w:t>
      </w:r>
      <w:r w:rsidRPr="009D475C">
        <w:rPr>
          <w:i/>
        </w:rPr>
        <w:t>V,</w:t>
      </w:r>
      <w:r w:rsidR="002E7639">
        <w:rPr>
          <w:i/>
        </w:rPr>
        <w:t xml:space="preserve"> </w:t>
      </w:r>
      <w:r w:rsidRPr="009D475C">
        <w:rPr>
          <w:i/>
        </w:rPr>
        <w:t xml:space="preserve">I, </w:t>
      </w:r>
      <w:r w:rsidR="0010515D" w:rsidRPr="001F4BD3">
        <w:rPr>
          <w:noProof/>
          <w:position w:val="-6"/>
        </w:rPr>
        <w:object w:dxaOrig="200" w:dyaOrig="220" w14:anchorId="7B56122B">
          <v:shape id="_x0000_i1073" type="#_x0000_t75" alt="" style="width:11.05pt;height:12.85pt;mso-width-percent:0;mso-height-percent:0;mso-width-percent:0;mso-height-percent:0" o:ole="">
            <v:imagedata r:id="rId25" o:title=""/>
          </v:shape>
          <o:OLEObject Type="Embed" ProgID="Equation.3" ShapeID="_x0000_i1073" DrawAspect="Content" ObjectID="_1712048750" r:id="rId101"/>
        </w:object>
      </w:r>
      <w:r w:rsidRPr="009D475C">
        <w:t xml:space="preserve">), </w:t>
      </w:r>
      <w:r w:rsidRPr="009D475C">
        <w:rPr>
          <w:i/>
        </w:rPr>
        <w:t>E</w:t>
      </w:r>
      <w:r w:rsidRPr="009D475C">
        <w:t xml:space="preserve">, </w:t>
      </w:r>
      <w:r w:rsidR="0010515D" w:rsidRPr="001F4BD3">
        <w:rPr>
          <w:noProof/>
          <w:position w:val="-6"/>
        </w:rPr>
        <w:object w:dxaOrig="240" w:dyaOrig="279" w14:anchorId="6923EA3C">
          <v:shape id="_x0000_i1074" type="#_x0000_t75" alt="" style="width:12.85pt;height:14.25pt;mso-width-percent:0;mso-height-percent:0;mso-width-percent:0;mso-height-percent:0" o:ole="">
            <v:imagedata r:id="rId27" o:title=""/>
          </v:shape>
          <o:OLEObject Type="Embed" ProgID="Equation.3" ShapeID="_x0000_i1074" DrawAspect="Content" ObjectID="_1712048751" r:id="rId102"/>
        </w:object>
      </w:r>
      <w:r w:rsidRPr="009D475C">
        <w:t xml:space="preserve">), giving the right upon paying an exercise price </w:t>
      </w:r>
      <w:r w:rsidRPr="009D475C">
        <w:rPr>
          <w:i/>
        </w:rPr>
        <w:t>E</w:t>
      </w:r>
      <w:r w:rsidRPr="009D475C">
        <w:t xml:space="preserve"> with time to maturity τ’, to acquire a subsequent option, </w:t>
      </w:r>
      <w:r w:rsidRPr="009D475C">
        <w:rPr>
          <w:i/>
        </w:rPr>
        <w:t>S</w:t>
      </w:r>
      <w:r w:rsidRPr="009D475C">
        <w:t>(</w:t>
      </w:r>
      <w:r w:rsidRPr="009D475C">
        <w:rPr>
          <w:i/>
        </w:rPr>
        <w:t>V, I, t</w:t>
      </w:r>
      <w:r w:rsidRPr="009D475C">
        <w:t>), to exchange (give up) an underlying (</w:t>
      </w:r>
      <w:r w:rsidR="002E7639">
        <w:t>“</w:t>
      </w:r>
      <w:r w:rsidRPr="009D475C">
        <w:t>delivery</w:t>
      </w:r>
      <w:r w:rsidR="002E7639">
        <w:t>”</w:t>
      </w:r>
      <w:r w:rsidRPr="009D475C">
        <w:t xml:space="preserve">) risky asset, </w:t>
      </w:r>
      <w:proofErr w:type="spellStart"/>
      <w:r w:rsidRPr="009D475C">
        <w:rPr>
          <w:i/>
        </w:rPr>
        <w:t>qI</w:t>
      </w:r>
      <w:proofErr w:type="spellEnd"/>
      <w:r w:rsidRPr="009D475C">
        <w:t>, to receive another (</w:t>
      </w:r>
      <w:r w:rsidR="002E7639">
        <w:t>“</w:t>
      </w:r>
      <w:r w:rsidRPr="009D475C">
        <w:t xml:space="preserve">option”) risky asset, </w:t>
      </w:r>
      <w:r w:rsidRPr="009D475C">
        <w:rPr>
          <w:i/>
        </w:rPr>
        <w:t>V</w:t>
      </w:r>
      <w:r w:rsidRPr="009D475C">
        <w:t xml:space="preserve">, with time </w:t>
      </w:r>
      <w:r w:rsidRPr="009D475C">
        <w:rPr>
          <w:i/>
        </w:rPr>
        <w:t>t</w:t>
      </w:r>
      <w:r w:rsidRPr="009D475C">
        <w:t xml:space="preserve"> (see </w:t>
      </w:r>
      <w:proofErr w:type="spellStart"/>
      <w:r w:rsidRPr="009D475C">
        <w:t>Carr</w:t>
      </w:r>
      <w:proofErr w:type="spellEnd"/>
      <w:r w:rsidRPr="009D475C">
        <w:t xml:space="preserve">, 1988; </w:t>
      </w:r>
      <w:proofErr w:type="spellStart"/>
      <w:r w:rsidRPr="009D475C">
        <w:t>Margrabe</w:t>
      </w:r>
      <w:proofErr w:type="spellEnd"/>
      <w:r w:rsidRPr="009D475C">
        <w:t xml:space="preserve">, 1978; </w:t>
      </w:r>
      <w:proofErr w:type="spellStart"/>
      <w:r w:rsidRPr="009D475C">
        <w:t>Trigeorgis</w:t>
      </w:r>
      <w:proofErr w:type="spellEnd"/>
      <w:r w:rsidRPr="009D475C">
        <w:t xml:space="preserve"> 1996: 215). There, </w:t>
      </w:r>
      <w:r w:rsidRPr="009D475C">
        <w:rPr>
          <w:i/>
        </w:rPr>
        <w:t>V</w:t>
      </w:r>
      <w:r w:rsidRPr="009D475C">
        <w:t xml:space="preserve">, is stochastic in the partial differential equation, </w:t>
      </w:r>
      <w:r w:rsidRPr="009D475C">
        <w:rPr>
          <w:i/>
        </w:rPr>
        <w:t>E</w:t>
      </w:r>
      <w:r w:rsidRPr="009D475C">
        <w:t xml:space="preserve"> is a fixed proportion (</w:t>
      </w:r>
      <w:r w:rsidRPr="009D475C">
        <w:rPr>
          <w:i/>
        </w:rPr>
        <w:t>q</w:t>
      </w:r>
      <w:r w:rsidRPr="009D475C">
        <w:t xml:space="preserve">%) of the delivery asset, i.e., </w:t>
      </w:r>
      <w:r w:rsidRPr="009D475C">
        <w:rPr>
          <w:i/>
        </w:rPr>
        <w:t xml:space="preserve">E </w:t>
      </w:r>
      <w:r w:rsidRPr="009D475C">
        <w:t xml:space="preserve">= </w:t>
      </w:r>
      <w:proofErr w:type="spellStart"/>
      <w:r w:rsidRPr="009D475C">
        <w:rPr>
          <w:i/>
        </w:rPr>
        <w:t>qI</w:t>
      </w:r>
      <w:proofErr w:type="spellEnd"/>
      <w:r w:rsidRPr="009D475C">
        <w:t xml:space="preserve"> that the underlying risky asset </w:t>
      </w:r>
      <w:r w:rsidRPr="009D475C">
        <w:rPr>
          <w:i/>
        </w:rPr>
        <w:t>V</w:t>
      </w:r>
      <w:r w:rsidRPr="009D475C">
        <w:t xml:space="preserve"> and </w:t>
      </w:r>
      <w:r w:rsidRPr="009D475C">
        <w:rPr>
          <w:i/>
        </w:rPr>
        <w:t>I</w:t>
      </w:r>
      <w:r w:rsidRPr="009D475C">
        <w:t xml:space="preserve"> have no dividend-like pay</w:t>
      </w:r>
      <w:r>
        <w:t>-</w:t>
      </w:r>
      <w:r w:rsidRPr="009D475C">
        <w:t>outs</w:t>
      </w:r>
      <w:r w:rsidR="009658DF">
        <w:t xml:space="preserve"> (see, Appendix B)</w:t>
      </w:r>
      <w:r w:rsidRPr="009D475C">
        <w:t>. And the gross project value (</w:t>
      </w:r>
      <w:r w:rsidRPr="009D475C">
        <w:rPr>
          <w:i/>
        </w:rPr>
        <w:t>V</w:t>
      </w:r>
      <w:r w:rsidRPr="009D475C">
        <w:rPr>
          <w:i/>
          <w:vertAlign w:val="subscript"/>
        </w:rPr>
        <w:t>t</w:t>
      </w:r>
      <w:r w:rsidRPr="009D475C">
        <w:rPr>
          <w:i/>
        </w:rPr>
        <w:t xml:space="preserve">) </w:t>
      </w:r>
      <w:r w:rsidRPr="009D475C">
        <w:t>is assumed to follow the standard diffusion Wiener process</w:t>
      </w:r>
      <w:r>
        <w:t>.</w:t>
      </w:r>
      <w:r w:rsidRPr="009D475C">
        <w:t xml:space="preserve">  </w:t>
      </w:r>
    </w:p>
    <w:p w14:paraId="50293333" w14:textId="1662D690" w:rsidR="00483796" w:rsidRDefault="008012C3" w:rsidP="009D468A">
      <w:pPr>
        <w:autoSpaceDE w:val="0"/>
        <w:autoSpaceDN w:val="0"/>
        <w:adjustRightInd w:val="0"/>
        <w:spacing w:before="120" w:line="480" w:lineRule="auto"/>
        <w:ind w:right="-613" w:hanging="142"/>
        <w:jc w:val="both"/>
      </w:pPr>
      <w:r>
        <w:rPr>
          <w:noProof/>
        </w:rPr>
        <w:lastRenderedPageBreak/>
        <w:drawing>
          <wp:inline distT="0" distB="0" distL="0" distR="0" wp14:anchorId="35490118" wp14:editId="4C45B9DD">
            <wp:extent cx="5043948" cy="365412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104172" cy="3697751"/>
                    </a:xfrm>
                    <a:prstGeom prst="rect">
                      <a:avLst/>
                    </a:prstGeom>
                    <a:noFill/>
                  </pic:spPr>
                </pic:pic>
              </a:graphicData>
            </a:graphic>
          </wp:inline>
        </w:drawing>
      </w:r>
    </w:p>
    <w:p w14:paraId="68CE1D04" w14:textId="03321337" w:rsidR="006F2877" w:rsidRDefault="006F2877" w:rsidP="00AE6602">
      <w:pPr>
        <w:spacing w:after="120" w:line="480" w:lineRule="auto"/>
        <w:ind w:firstLine="284"/>
        <w:jc w:val="both"/>
      </w:pPr>
      <w:r w:rsidRPr="00FD2CA7">
        <w:rPr>
          <w:b/>
        </w:rPr>
        <w:t>Figure</w:t>
      </w:r>
      <w:r>
        <w:rPr>
          <w:b/>
        </w:rPr>
        <w:t xml:space="preserve"> 4a.</w:t>
      </w:r>
      <w:r w:rsidRPr="00FD2CA7">
        <w:t xml:space="preserve"> Sample </w:t>
      </w:r>
      <w:r>
        <w:t>p</w:t>
      </w:r>
      <w:r w:rsidRPr="00FD2CA7">
        <w:t xml:space="preserve">ath </w:t>
      </w:r>
      <w:r>
        <w:t>s</w:t>
      </w:r>
      <w:r w:rsidRPr="00FD2CA7">
        <w:t>imulation</w:t>
      </w:r>
      <w:r>
        <w:t>s</w:t>
      </w:r>
      <w:r w:rsidRPr="00FD2CA7">
        <w:t xml:space="preserve">: </w:t>
      </w:r>
      <w:r>
        <w:t>Abandonment o</w:t>
      </w:r>
      <w:r w:rsidRPr="00FD2CA7">
        <w:t>ption</w:t>
      </w:r>
      <w:r>
        <w:t xml:space="preserve"> at earlier stage </w:t>
      </w:r>
      <w:r w:rsidRPr="00FD2CA7">
        <w:t xml:space="preserve"> </w:t>
      </w:r>
    </w:p>
    <w:p w14:paraId="3994E39B" w14:textId="6315A35E" w:rsidR="00B309A3" w:rsidRDefault="008012C3" w:rsidP="009D468A">
      <w:pPr>
        <w:autoSpaceDE w:val="0"/>
        <w:autoSpaceDN w:val="0"/>
        <w:adjustRightInd w:val="0"/>
        <w:spacing w:before="120" w:line="480" w:lineRule="auto"/>
        <w:ind w:right="-613" w:hanging="142"/>
        <w:jc w:val="both"/>
      </w:pPr>
      <w:r>
        <w:rPr>
          <w:noProof/>
        </w:rPr>
        <w:drawing>
          <wp:inline distT="0" distB="0" distL="0" distR="0" wp14:anchorId="58258003" wp14:editId="7933B8D2">
            <wp:extent cx="5080819" cy="374809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132544" cy="3786248"/>
                    </a:xfrm>
                    <a:prstGeom prst="rect">
                      <a:avLst/>
                    </a:prstGeom>
                    <a:noFill/>
                  </pic:spPr>
                </pic:pic>
              </a:graphicData>
            </a:graphic>
          </wp:inline>
        </w:drawing>
      </w:r>
    </w:p>
    <w:p w14:paraId="0AB5FCBA" w14:textId="3317E9D7" w:rsidR="004B1FCF" w:rsidRDefault="004B1FCF" w:rsidP="009D468A">
      <w:pPr>
        <w:spacing w:after="120" w:line="480" w:lineRule="auto"/>
        <w:ind w:firstLine="284"/>
        <w:jc w:val="both"/>
      </w:pPr>
      <w:r w:rsidRPr="00FD2CA7">
        <w:rPr>
          <w:b/>
        </w:rPr>
        <w:t>Figure</w:t>
      </w:r>
      <w:r>
        <w:rPr>
          <w:b/>
        </w:rPr>
        <w:t xml:space="preserve"> </w:t>
      </w:r>
      <w:r w:rsidR="00D85C1A">
        <w:rPr>
          <w:b/>
        </w:rPr>
        <w:t>4</w:t>
      </w:r>
      <w:r w:rsidR="006F2877">
        <w:rPr>
          <w:b/>
        </w:rPr>
        <w:t>b</w:t>
      </w:r>
      <w:r>
        <w:rPr>
          <w:b/>
        </w:rPr>
        <w:t>.</w:t>
      </w:r>
      <w:r w:rsidRPr="00FD2CA7">
        <w:t xml:space="preserve"> Sample </w:t>
      </w:r>
      <w:r w:rsidR="009658DF">
        <w:t>p</w:t>
      </w:r>
      <w:r w:rsidRPr="00FD2CA7">
        <w:t xml:space="preserve">ath </w:t>
      </w:r>
      <w:r w:rsidR="009658DF">
        <w:t>s</w:t>
      </w:r>
      <w:r w:rsidRPr="00FD2CA7">
        <w:t>imulation</w:t>
      </w:r>
      <w:r w:rsidR="009658DF">
        <w:t>s</w:t>
      </w:r>
      <w:r w:rsidRPr="00FD2CA7">
        <w:t xml:space="preserve">: </w:t>
      </w:r>
      <w:r w:rsidR="006F2877">
        <w:t>A</w:t>
      </w:r>
      <w:r w:rsidR="009658DF">
        <w:t>bandon</w:t>
      </w:r>
      <w:r w:rsidR="006F2877">
        <w:t>ment</w:t>
      </w:r>
      <w:r w:rsidR="009658DF">
        <w:t xml:space="preserve"> o</w:t>
      </w:r>
      <w:r w:rsidRPr="00FD2CA7">
        <w:t>ption</w:t>
      </w:r>
      <w:r w:rsidR="006F2877">
        <w:t xml:space="preserve"> in revival stage</w:t>
      </w:r>
      <w:r w:rsidRPr="00FD2CA7">
        <w:t xml:space="preserve"> </w:t>
      </w:r>
    </w:p>
    <w:p w14:paraId="303383FB" w14:textId="4426C63D" w:rsidR="00483796" w:rsidRDefault="00D85C1A" w:rsidP="009D468A">
      <w:pPr>
        <w:spacing w:before="240" w:after="120" w:line="480" w:lineRule="auto"/>
        <w:ind w:firstLine="284"/>
        <w:jc w:val="both"/>
      </w:pPr>
      <w:r>
        <w:lastRenderedPageBreak/>
        <w:t>The above len</w:t>
      </w:r>
      <w:r w:rsidR="0089360D">
        <w:t>t</w:t>
      </w:r>
      <w:r>
        <w:t xml:space="preserve"> further support to H3b. T</w:t>
      </w:r>
      <w:r w:rsidR="009409BC">
        <w:t xml:space="preserve">he results indicate </w:t>
      </w:r>
      <w:r w:rsidR="009409BC" w:rsidRPr="009D475C">
        <w:t xml:space="preserve">two critical points. </w:t>
      </w:r>
      <w:r w:rsidR="009409BC">
        <w:t xml:space="preserve">First, </w:t>
      </w:r>
      <w:r w:rsidR="004B1FCF">
        <w:t xml:space="preserve">Figure </w:t>
      </w:r>
      <w:r>
        <w:t xml:space="preserve">4 </w:t>
      </w:r>
      <w:r w:rsidR="004B1FCF">
        <w:t xml:space="preserve">suggests, </w:t>
      </w:r>
      <w:r w:rsidR="0069209D">
        <w:t>w</w:t>
      </w:r>
      <w:r w:rsidR="0069209D" w:rsidRPr="00601774">
        <w:t xml:space="preserve">hen considering the </w:t>
      </w:r>
      <w:r w:rsidR="0069209D">
        <w:t xml:space="preserve">compound exchange </w:t>
      </w:r>
      <w:r w:rsidR="0069209D" w:rsidRPr="00601774">
        <w:t xml:space="preserve">option </w:t>
      </w:r>
      <w:r w:rsidR="0069209D">
        <w:t>of defer</w:t>
      </w:r>
      <w:r w:rsidR="00C448FC">
        <w:t>ring</w:t>
      </w:r>
      <w:r w:rsidR="0069209D">
        <w:t xml:space="preserve"> with abandonment, the value distributions </w:t>
      </w:r>
      <w:r w:rsidR="00011218">
        <w:t xml:space="preserve">in interactions, </w:t>
      </w:r>
      <w:r w:rsidR="009F1955">
        <w:t xml:space="preserve">in effect, show </w:t>
      </w:r>
      <w:r w:rsidR="00011218">
        <w:t xml:space="preserve">where </w:t>
      </w:r>
      <w:r w:rsidR="00C448FC">
        <w:t xml:space="preserve">the </w:t>
      </w:r>
      <w:r w:rsidR="00011218">
        <w:t xml:space="preserve">abandon option </w:t>
      </w:r>
      <w:r w:rsidR="0069209D">
        <w:t>decrease</w:t>
      </w:r>
      <w:r w:rsidR="00011218">
        <w:t>s</w:t>
      </w:r>
      <w:r w:rsidR="0069209D">
        <w:t xml:space="preserve"> </w:t>
      </w:r>
      <w:r w:rsidR="0069209D" w:rsidRPr="00601774">
        <w:t>project value</w:t>
      </w:r>
      <w:r w:rsidR="0069209D">
        <w:t>s</w:t>
      </w:r>
      <w:r w:rsidR="00011218">
        <w:t>,</w:t>
      </w:r>
      <w:r w:rsidR="0069209D" w:rsidRPr="00601774">
        <w:t xml:space="preserve"> </w:t>
      </w:r>
      <w:r w:rsidR="0069209D">
        <w:t>reduce</w:t>
      </w:r>
      <w:r w:rsidR="00011218">
        <w:t>s</w:t>
      </w:r>
      <w:r w:rsidR="0069209D" w:rsidRPr="00601774">
        <w:t xml:space="preserve"> the value of the option</w:t>
      </w:r>
      <w:r w:rsidR="0069209D">
        <w:t>s</w:t>
      </w:r>
      <w:r w:rsidR="00011218">
        <w:t>.</w:t>
      </w:r>
      <w:r w:rsidR="0069209D" w:rsidRPr="00601774">
        <w:t xml:space="preserve"> </w:t>
      </w:r>
      <w:r w:rsidR="00011218">
        <w:t xml:space="preserve">Although </w:t>
      </w:r>
      <w:r w:rsidR="00C448FC">
        <w:t xml:space="preserve">a </w:t>
      </w:r>
      <w:r w:rsidR="00011218">
        <w:t xml:space="preserve">business can hopefully </w:t>
      </w:r>
      <w:r w:rsidR="0069209D" w:rsidRPr="00601774">
        <w:t>compound</w:t>
      </w:r>
      <w:r w:rsidR="00011218">
        <w:t xml:space="preserve"> the</w:t>
      </w:r>
      <w:r w:rsidR="0069209D" w:rsidRPr="00601774">
        <w:t xml:space="preserve"> effects </w:t>
      </w:r>
      <w:r w:rsidR="00011218">
        <w:t xml:space="preserve">by </w:t>
      </w:r>
      <w:r w:rsidR="00C448FC">
        <w:t xml:space="preserve">the </w:t>
      </w:r>
      <w:r w:rsidR="00011218">
        <w:t xml:space="preserve">switch and other options, there is </w:t>
      </w:r>
      <w:r w:rsidR="0069209D" w:rsidRPr="00601774">
        <w:t xml:space="preserve">greater </w:t>
      </w:r>
      <w:r w:rsidR="0069209D">
        <w:t>volatility for t</w:t>
      </w:r>
      <w:r w:rsidR="0069209D" w:rsidRPr="00601774">
        <w:t xml:space="preserve">he </w:t>
      </w:r>
      <w:r w:rsidR="0069209D">
        <w:t>corporate sector</w:t>
      </w:r>
      <w:r w:rsidR="00011218">
        <w:t xml:space="preserve">, and </w:t>
      </w:r>
      <w:r w:rsidR="007676DC">
        <w:t xml:space="preserve">time is a critical issue while time-to-build suggests it will take, at least three quarters (9 months) to business to recover and revitalise the business. </w:t>
      </w:r>
    </w:p>
    <w:p w14:paraId="1FEC927E" w14:textId="1339BF13" w:rsidR="008012C3" w:rsidRDefault="00A64AE6" w:rsidP="00A00E88">
      <w:pPr>
        <w:spacing w:before="240" w:after="120" w:line="480" w:lineRule="auto"/>
        <w:ind w:firstLine="284"/>
        <w:jc w:val="both"/>
      </w:pPr>
      <w:r>
        <w:t xml:space="preserve">Thus, </w:t>
      </w:r>
      <w:r w:rsidR="00DF7D23">
        <w:t xml:space="preserve">it is </w:t>
      </w:r>
      <w:r w:rsidR="00DE2D4E">
        <w:t xml:space="preserve">required </w:t>
      </w:r>
      <w:r w:rsidR="00DE2D4E" w:rsidRPr="00601774">
        <w:t xml:space="preserve">the measurement and analysis of the option value adopt the concept of </w:t>
      </w:r>
      <w:r w:rsidR="00DE2D4E">
        <w:t>options as</w:t>
      </w:r>
      <w:r w:rsidR="00DE2D4E" w:rsidRPr="00601774">
        <w:t xml:space="preserve"> interactions</w:t>
      </w:r>
      <w:r w:rsidR="00DE2D4E">
        <w:t xml:space="preserve">. For which </w:t>
      </w:r>
      <w:r w:rsidR="00A00E88">
        <w:t>further</w:t>
      </w:r>
      <w:r w:rsidR="00DE2D4E">
        <w:t xml:space="preserve"> critical points raised are, </w:t>
      </w:r>
      <w:r w:rsidR="00DE2D4E" w:rsidRPr="009D475C">
        <w:t xml:space="preserve">first </w:t>
      </w:r>
      <w:r w:rsidR="00DE2D4E">
        <w:t xml:space="preserve">ROA needs </w:t>
      </w:r>
      <w:r w:rsidR="00DE2D4E" w:rsidRPr="009D475C">
        <w:t xml:space="preserve">valuing the two differentials (i.e., </w:t>
      </w:r>
      <w:r w:rsidR="00DE2D4E" w:rsidRPr="009D475C">
        <w:rPr>
          <w:rFonts w:ascii="Mathematica1Mono" w:hAnsi="Mathematica1Mono"/>
        </w:rPr>
        <w:t></w:t>
      </w:r>
      <w:r w:rsidR="00DE2D4E" w:rsidRPr="009D475C">
        <w:rPr>
          <w:i/>
        </w:rPr>
        <w:t>dt</w:t>
      </w:r>
      <w:r w:rsidR="00DE2D4E" w:rsidRPr="009D475C">
        <w:t xml:space="preserve"> and </w:t>
      </w:r>
      <w:r w:rsidR="00DE2D4E" w:rsidRPr="009D475C">
        <w:rPr>
          <w:rFonts w:ascii="Mathematica1Mono" w:hAnsi="Mathematica1Mono"/>
        </w:rPr>
        <w:t></w:t>
      </w:r>
      <w:proofErr w:type="spellStart"/>
      <w:r w:rsidR="00DE2D4E" w:rsidRPr="009D475C">
        <w:rPr>
          <w:i/>
        </w:rPr>
        <w:t>dz</w:t>
      </w:r>
      <w:proofErr w:type="spellEnd"/>
      <w:r w:rsidR="00DE2D4E" w:rsidRPr="009D475C">
        <w:t>), as show</w:t>
      </w:r>
      <w:r w:rsidR="00DE2D4E">
        <w:t xml:space="preserve">ed earlier in </w:t>
      </w:r>
      <w:r w:rsidR="00DE2D4E" w:rsidRPr="009D475C">
        <w:t>follow</w:t>
      </w:r>
      <w:r w:rsidR="00DE2D4E">
        <w:t>ing</w:t>
      </w:r>
      <w:r w:rsidR="00DE2D4E" w:rsidRPr="009D475C">
        <w:t xml:space="preserve"> </w:t>
      </w:r>
      <w:r w:rsidR="00DE2D4E">
        <w:t xml:space="preserve">the </w:t>
      </w:r>
      <w:r w:rsidR="00DE2D4E" w:rsidRPr="009D475C">
        <w:t>Wiener process</w:t>
      </w:r>
      <w:r w:rsidR="00DE2D4E">
        <w:t xml:space="preserve">. </w:t>
      </w:r>
      <w:r w:rsidR="00DE2D4E" w:rsidRPr="009D475C">
        <w:t xml:space="preserve">The correlation coefficient </w:t>
      </w:r>
      <w:r w:rsidR="00DE2D4E" w:rsidRPr="009D475C">
        <w:rPr>
          <w:i/>
        </w:rPr>
        <w:t>ρ</w:t>
      </w:r>
      <w:r w:rsidR="00DE2D4E">
        <w:rPr>
          <w:i/>
        </w:rPr>
        <w:t>,</w:t>
      </w:r>
      <w:r w:rsidR="002E7639">
        <w:rPr>
          <w:i/>
        </w:rPr>
        <w:t xml:space="preserve"> </w:t>
      </w:r>
      <w:r w:rsidR="00A00E88">
        <w:t>is</w:t>
      </w:r>
      <w:r w:rsidR="00A00E88" w:rsidRPr="009D475C">
        <w:t xml:space="preserve"> </w:t>
      </w:r>
      <m:oMath>
        <m:r>
          <w:rPr>
            <w:rFonts w:ascii="Cambria Math" w:hAnsi="Cambria Math"/>
          </w:rPr>
          <m:t>p=</m:t>
        </m:r>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τ</m:t>
                </m:r>
              </m:e>
              <m:sup>
                <m:r>
                  <w:rPr>
                    <w:rFonts w:ascii="Cambria Math" w:hAnsi="Cambria Math"/>
                  </w:rPr>
                  <m:t>'</m:t>
                </m:r>
              </m:sup>
            </m:sSup>
            <m:r>
              <w:rPr>
                <w:rFonts w:ascii="Cambria Math" w:hAnsi="Cambria Math"/>
              </w:rPr>
              <m:t>/τ</m:t>
            </m:r>
          </m:e>
        </m:rad>
        <m:r>
          <w:rPr>
            <w:rFonts w:ascii="Cambria Math" w:hAnsi="Cambria Math"/>
          </w:rPr>
          <m:t>)</m:t>
        </m:r>
      </m:oMath>
      <w:r w:rsidR="00DE2D4E">
        <w:t xml:space="preserve">, </w:t>
      </w:r>
      <w:r w:rsidR="00DE2D4E" w:rsidRPr="009D475C">
        <w:t>the probability for compound (exchange), which can also</w:t>
      </w:r>
      <w:r w:rsidR="00DE2D4E">
        <w:t xml:space="preserve"> be</w:t>
      </w:r>
      <w:r w:rsidR="00DE2D4E" w:rsidRPr="009D475C">
        <w:t xml:space="preserve"> found in Selby and Hodges (1987) and </w:t>
      </w:r>
      <w:proofErr w:type="spellStart"/>
      <w:r w:rsidR="00DE2D4E" w:rsidRPr="009D475C">
        <w:t>Trigeo</w:t>
      </w:r>
      <w:r w:rsidR="00DE2D4E">
        <w:t>r</w:t>
      </w:r>
      <w:r w:rsidR="00DE2D4E" w:rsidRPr="009D475C">
        <w:t>gis</w:t>
      </w:r>
      <w:proofErr w:type="spellEnd"/>
      <w:r w:rsidR="00DE2D4E" w:rsidRPr="009D475C">
        <w:t xml:space="preserve"> (1996), and hence the valuation can follow the actual bivariate (both time and price) process under a discrete-time process, and the martingale approach (e.g.</w:t>
      </w:r>
      <w:r w:rsidR="00DE2D4E">
        <w:t>,</w:t>
      </w:r>
      <w:r w:rsidR="00DE2D4E" w:rsidRPr="009D475C">
        <w:t xml:space="preserve"> multivariate diffusion).</w:t>
      </w:r>
      <w:r w:rsidR="0069209D">
        <w:t xml:space="preserve"> </w:t>
      </w:r>
      <w:r w:rsidR="00A00E88">
        <w:t>Because</w:t>
      </w:r>
      <w:r>
        <w:t xml:space="preserve"> </w:t>
      </w:r>
      <w:r w:rsidR="00A00E88">
        <w:t>t</w:t>
      </w:r>
      <w:r w:rsidR="0069209D" w:rsidRPr="00601774">
        <w:t>he values of the compound- options are correlated</w:t>
      </w:r>
      <w:r w:rsidR="00A00E88">
        <w:t>,</w:t>
      </w:r>
      <w:r w:rsidR="0069209D" w:rsidRPr="00AC45ED">
        <w:t xml:space="preserve"> </w:t>
      </w:r>
      <w:r w:rsidR="0069209D">
        <w:t>the government sector</w:t>
      </w:r>
      <w:r w:rsidR="007676DC">
        <w:t xml:space="preserve"> by</w:t>
      </w:r>
      <w:r w:rsidR="0069209D" w:rsidRPr="00FD2CA7">
        <w:t xml:space="preserve"> revis</w:t>
      </w:r>
      <w:r w:rsidR="007676DC">
        <w:t xml:space="preserve">ing </w:t>
      </w:r>
      <w:r w:rsidR="0069209D">
        <w:t xml:space="preserve">their </w:t>
      </w:r>
      <w:r w:rsidR="0069209D" w:rsidRPr="00FD2CA7">
        <w:t>future action</w:t>
      </w:r>
      <w:r w:rsidR="007676DC">
        <w:t xml:space="preserve"> can have effect </w:t>
      </w:r>
      <w:r w:rsidR="0069209D" w:rsidRPr="00FD2CA7">
        <w:t>contingent on uncertain future developments</w:t>
      </w:r>
      <w:r w:rsidR="007676DC">
        <w:t xml:space="preserve"> of businesses</w:t>
      </w:r>
      <w:r w:rsidR="0069209D" w:rsidRPr="00FD2CA7">
        <w:t xml:space="preserve">, </w:t>
      </w:r>
      <w:r w:rsidR="00D71351">
        <w:t xml:space="preserve">setting constraints to </w:t>
      </w:r>
      <w:r w:rsidR="0069209D">
        <w:t xml:space="preserve">some businesses to </w:t>
      </w:r>
      <w:r w:rsidR="0069209D" w:rsidRPr="00FD2CA7">
        <w:t>expand the</w:t>
      </w:r>
      <w:r w:rsidR="0069209D">
        <w:t>ir</w:t>
      </w:r>
      <w:r w:rsidR="0069209D" w:rsidRPr="00FD2CA7">
        <w:t xml:space="preserve"> opportunity’s true value</w:t>
      </w:r>
      <w:r w:rsidR="00114B34">
        <w:t xml:space="preserve"> (w</w:t>
      </w:r>
      <w:r w:rsidR="003F31CA">
        <w:t>h</w:t>
      </w:r>
      <w:r w:rsidR="00114B34">
        <w:t xml:space="preserve">ere business per unit value of investment was assumed </w:t>
      </w:r>
      <w:r w:rsidR="00114B34" w:rsidRPr="00114B34">
        <w:rPr>
          <w:i/>
          <w:iCs/>
        </w:rPr>
        <w:t>v</w:t>
      </w:r>
      <w:r w:rsidR="00114B34">
        <w:rPr>
          <w:i/>
          <w:iCs/>
        </w:rPr>
        <w:t xml:space="preserve"> </w:t>
      </w:r>
      <w:r w:rsidR="00114B34">
        <w:t>=200 (thousand, as equilibrium</w:t>
      </w:r>
      <w:r w:rsidR="003F31CA">
        <w:t xml:space="preserve"> price</w:t>
      </w:r>
      <w:r w:rsidR="00114B34">
        <w:t>)</w:t>
      </w:r>
      <w:r w:rsidR="0069209D">
        <w:t>.</w:t>
      </w:r>
    </w:p>
    <w:p w14:paraId="7518A0DF" w14:textId="3792A37A" w:rsidR="00483796" w:rsidRDefault="00483796" w:rsidP="00483796">
      <w:pPr>
        <w:autoSpaceDE w:val="0"/>
        <w:autoSpaceDN w:val="0"/>
        <w:adjustRightInd w:val="0"/>
        <w:spacing w:before="120" w:line="480" w:lineRule="auto"/>
        <w:ind w:firstLine="284"/>
        <w:jc w:val="both"/>
      </w:pPr>
      <w:r w:rsidRPr="009D475C">
        <w:t xml:space="preserve">The results </w:t>
      </w:r>
      <w:r w:rsidR="00D85C1A">
        <w:t xml:space="preserve">in Figure 5 </w:t>
      </w:r>
      <w:r w:rsidRPr="009D475C">
        <w:t xml:space="preserve">show that </w:t>
      </w:r>
      <w:r>
        <w:t>project expansion</w:t>
      </w:r>
      <w:r w:rsidRPr="009D475C">
        <w:t xml:space="preserve"> has a predetermined exchange or expansion rate. More generally, </w:t>
      </w:r>
      <w:r>
        <w:t xml:space="preserve">both government and corporate sectors </w:t>
      </w:r>
      <w:r w:rsidRPr="009D475C">
        <w:t>may have the choice to decide the exchange at a different scale and time that leads to positive interaction with the prior call option to exchange. As we have seen from the above calculations</w:t>
      </w:r>
      <w:r>
        <w:t>,</w:t>
      </w:r>
      <w:r w:rsidRPr="009D475C">
        <w:t xml:space="preserve"> the probability </w:t>
      </w:r>
      <w:r>
        <w:t xml:space="preserve">of </w:t>
      </w:r>
      <w:r w:rsidRPr="009D475C">
        <w:t xml:space="preserve">the exchange, </w:t>
      </w:r>
      <w:r w:rsidR="0010515D" w:rsidRPr="001F4BD3">
        <w:rPr>
          <w:noProof/>
          <w:position w:val="-10"/>
        </w:rPr>
        <w:object w:dxaOrig="1240" w:dyaOrig="380" w14:anchorId="67E57D22">
          <v:shape id="_x0000_i1075" type="#_x0000_t75" alt="" style="width:62.75pt;height:20.3pt;mso-width-percent:0;mso-height-percent:0;mso-width-percent:0;mso-height-percent:0" o:ole="">
            <v:imagedata r:id="rId63" o:title=""/>
          </v:shape>
          <o:OLEObject Type="Embed" ProgID="Equation.3" ShapeID="_x0000_i1075" DrawAspect="Content" ObjectID="_1712048752" r:id="rId105"/>
        </w:object>
      </w:r>
      <w:r w:rsidRPr="009D475C">
        <w:t xml:space="preserve"> is more tha</w:t>
      </w:r>
      <w:r>
        <w:t>n</w:t>
      </w:r>
      <w:r w:rsidRPr="009D475C">
        <w:t xml:space="preserve"> 0.71 and the correlation coefficients between the two options of Project C, </w:t>
      </w:r>
      <w:r w:rsidR="0010515D" w:rsidRPr="001F4BD3">
        <w:rPr>
          <w:noProof/>
          <w:position w:val="-10"/>
        </w:rPr>
        <w:object w:dxaOrig="1100" w:dyaOrig="340" w14:anchorId="3398002C">
          <v:shape id="_x0000_i1076" type="#_x0000_t75" alt="" style="width:54.55pt;height:15.7pt;mso-width-percent:0;mso-height-percent:0;mso-width-percent:0;mso-height-percent:0" o:ole="">
            <v:imagedata r:id="rId106" o:title=""/>
          </v:shape>
          <o:OLEObject Type="Embed" ProgID="Equation.3" ShapeID="_x0000_i1076" DrawAspect="Content" ObjectID="_1712048753" r:id="rId107"/>
        </w:object>
      </w:r>
      <w:r w:rsidRPr="009D475C">
        <w:t>is about 0.82</w:t>
      </w:r>
      <w:r>
        <w:t>.</w:t>
      </w:r>
      <w:r w:rsidRPr="009D475C">
        <w:t xml:space="preserve"> </w:t>
      </w:r>
      <w:r>
        <w:t>This</w:t>
      </w:r>
      <w:r w:rsidRPr="009D475C">
        <w:t xml:space="preserve"> suggests that </w:t>
      </w:r>
      <w:r>
        <w:t>both sectors</w:t>
      </w:r>
      <w:r w:rsidRPr="009D475C">
        <w:t xml:space="preserve"> </w:t>
      </w:r>
      <w:r w:rsidR="009E2DDF">
        <w:t xml:space="preserve">(government and </w:t>
      </w:r>
      <w:r w:rsidR="009E2DDF">
        <w:lastRenderedPageBreak/>
        <w:t xml:space="preserve">corporate) </w:t>
      </w:r>
      <w:r>
        <w:t xml:space="preserve">have options </w:t>
      </w:r>
      <w:r w:rsidRPr="009D475C">
        <w:t>to revise its future action</w:t>
      </w:r>
      <w:r>
        <w:t xml:space="preserve">s </w:t>
      </w:r>
      <w:r w:rsidRPr="009D475C">
        <w:t>contingent on uncertain future developments</w:t>
      </w:r>
      <w:r w:rsidR="00A00E88">
        <w:t xml:space="preserve"> for more productive options</w:t>
      </w:r>
      <w:r>
        <w:t>.</w:t>
      </w:r>
      <w:r w:rsidRPr="009D475C">
        <w:t xml:space="preserve"> </w:t>
      </w:r>
    </w:p>
    <w:p w14:paraId="4CE091E2" w14:textId="7CB36915" w:rsidR="00483796" w:rsidRDefault="007B3D74" w:rsidP="00AE6602">
      <w:pPr>
        <w:autoSpaceDE w:val="0"/>
        <w:autoSpaceDN w:val="0"/>
        <w:adjustRightInd w:val="0"/>
        <w:spacing w:before="120" w:line="480" w:lineRule="auto"/>
        <w:ind w:firstLine="284"/>
        <w:jc w:val="both"/>
      </w:pPr>
      <w:r>
        <w:rPr>
          <w:noProof/>
        </w:rPr>
        <w:drawing>
          <wp:inline distT="0" distB="0" distL="0" distR="0" wp14:anchorId="1660A3AC" wp14:editId="0640B7F9">
            <wp:extent cx="4583798" cy="3252019"/>
            <wp:effectExtent l="0" t="0" r="1270" b="0"/>
            <wp:docPr id="10576" name="Picture 1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4600379" cy="3263783"/>
                    </a:xfrm>
                    <a:prstGeom prst="rect">
                      <a:avLst/>
                    </a:prstGeom>
                  </pic:spPr>
                </pic:pic>
              </a:graphicData>
            </a:graphic>
          </wp:inline>
        </w:drawing>
      </w:r>
    </w:p>
    <w:p w14:paraId="5E496324" w14:textId="5B33F110" w:rsidR="00483796" w:rsidRDefault="00483796" w:rsidP="00483796">
      <w:pPr>
        <w:spacing w:line="480" w:lineRule="auto"/>
        <w:jc w:val="center"/>
      </w:pPr>
      <w:r w:rsidRPr="009A64B5">
        <w:rPr>
          <w:b/>
          <w:bCs/>
        </w:rPr>
        <w:t>Fig</w:t>
      </w:r>
      <w:r>
        <w:rPr>
          <w:b/>
          <w:bCs/>
        </w:rPr>
        <w:t>ure</w:t>
      </w:r>
      <w:r w:rsidRPr="009A64B5">
        <w:rPr>
          <w:b/>
          <w:bCs/>
        </w:rPr>
        <w:t xml:space="preserve"> </w:t>
      </w:r>
      <w:r w:rsidR="00D85C1A">
        <w:rPr>
          <w:b/>
          <w:bCs/>
        </w:rPr>
        <w:t>5</w:t>
      </w:r>
      <w:r w:rsidRPr="009A64B5">
        <w:rPr>
          <w:b/>
          <w:bCs/>
        </w:rPr>
        <w:t>.</w:t>
      </w:r>
      <w:r w:rsidRPr="00601774">
        <w:t xml:space="preserve"> </w:t>
      </w:r>
      <w:r>
        <w:t xml:space="preserve">Sample path simulations: Defer vs </w:t>
      </w:r>
      <w:r w:rsidRPr="00601774">
        <w:t>compound</w:t>
      </w:r>
      <w:r>
        <w:t xml:space="preserve"> expansion </w:t>
      </w:r>
      <w:r w:rsidRPr="00601774">
        <w:t>options</w:t>
      </w:r>
    </w:p>
    <w:p w14:paraId="3CABD7BD" w14:textId="4D3BAD4E" w:rsidR="004B1FCF" w:rsidRPr="00FD2CA7" w:rsidRDefault="007B3D74" w:rsidP="00AE6602">
      <w:pPr>
        <w:spacing w:before="240" w:after="120" w:line="480" w:lineRule="auto"/>
        <w:ind w:firstLine="284"/>
        <w:jc w:val="both"/>
      </w:pPr>
      <w:r>
        <w:rPr>
          <w:noProof/>
        </w:rPr>
        <w:drawing>
          <wp:inline distT="0" distB="0" distL="0" distR="0" wp14:anchorId="615B8C4D" wp14:editId="7659D686">
            <wp:extent cx="4638367" cy="3037601"/>
            <wp:effectExtent l="0" t="0" r="0" b="0"/>
            <wp:docPr id="10577" name="Picture 1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4649131" cy="3044650"/>
                    </a:xfrm>
                    <a:prstGeom prst="rect">
                      <a:avLst/>
                    </a:prstGeom>
                  </pic:spPr>
                </pic:pic>
              </a:graphicData>
            </a:graphic>
          </wp:inline>
        </w:drawing>
      </w:r>
    </w:p>
    <w:p w14:paraId="27805224" w14:textId="3772B42D" w:rsidR="004B1FCF" w:rsidRDefault="004B1FCF" w:rsidP="009D468A">
      <w:pPr>
        <w:spacing w:after="120" w:line="480" w:lineRule="auto"/>
        <w:ind w:firstLine="284"/>
        <w:jc w:val="both"/>
      </w:pPr>
      <w:r w:rsidRPr="00FD2CA7">
        <w:rPr>
          <w:b/>
        </w:rPr>
        <w:t>Figure</w:t>
      </w:r>
      <w:r>
        <w:rPr>
          <w:b/>
        </w:rPr>
        <w:t xml:space="preserve"> </w:t>
      </w:r>
      <w:r w:rsidR="00D85C1A">
        <w:rPr>
          <w:b/>
        </w:rPr>
        <w:t>6</w:t>
      </w:r>
      <w:r>
        <w:rPr>
          <w:b/>
        </w:rPr>
        <w:t>.</w:t>
      </w:r>
      <w:r w:rsidRPr="00FD2CA7">
        <w:t xml:space="preserve"> Sample </w:t>
      </w:r>
      <w:r>
        <w:t>p</w:t>
      </w:r>
      <w:r w:rsidRPr="00FD2CA7">
        <w:t xml:space="preserve">ath </w:t>
      </w:r>
      <w:r>
        <w:t>s</w:t>
      </w:r>
      <w:r w:rsidRPr="00FD2CA7">
        <w:t>imulation</w:t>
      </w:r>
      <w:r>
        <w:t>s</w:t>
      </w:r>
      <w:r w:rsidRPr="00FD2CA7">
        <w:t>:</w:t>
      </w:r>
      <w:r>
        <w:t xml:space="preserve"> </w:t>
      </w:r>
      <w:r w:rsidR="00985D82">
        <w:t>C</w:t>
      </w:r>
      <w:r>
        <w:t>omparing o</w:t>
      </w:r>
      <w:r w:rsidRPr="00FD2CA7">
        <w:t xml:space="preserve">ption </w:t>
      </w:r>
      <w:r>
        <w:t>v</w:t>
      </w:r>
      <w:r w:rsidRPr="00FD2CA7">
        <w:t>alue</w:t>
      </w:r>
      <w:r>
        <w:t>s (defer, switch and compound)</w:t>
      </w:r>
    </w:p>
    <w:p w14:paraId="70F29BDC" w14:textId="4676EF60" w:rsidR="00D85C1A" w:rsidRDefault="004B1FCF" w:rsidP="00D85C1A">
      <w:pPr>
        <w:spacing w:before="120" w:line="480" w:lineRule="auto"/>
        <w:ind w:firstLine="284"/>
        <w:jc w:val="both"/>
      </w:pPr>
      <w:r>
        <w:lastRenderedPageBreak/>
        <w:t xml:space="preserve">Figure </w:t>
      </w:r>
      <w:r w:rsidR="00D85C1A">
        <w:t>6</w:t>
      </w:r>
      <w:r w:rsidR="00D85C1A" w:rsidRPr="00601774">
        <w:t xml:space="preserve"> </w:t>
      </w:r>
      <w:r w:rsidRPr="00601774">
        <w:t xml:space="preserve">presents results from sample paths simulation based on the </w:t>
      </w:r>
      <w:r>
        <w:t xml:space="preserve">estimated </w:t>
      </w:r>
      <w:r w:rsidRPr="00601774">
        <w:t>risk-neutral assumption using sample data</w:t>
      </w:r>
      <w:r w:rsidR="009E2DDF">
        <w:t xml:space="preserve"> values considered are in Appendix B</w:t>
      </w:r>
      <w:r w:rsidRPr="00601774">
        <w:t>.</w:t>
      </w:r>
      <w:r w:rsidR="009E2DDF">
        <w:rPr>
          <w:bCs/>
        </w:rPr>
        <w:t xml:space="preserve"> where</w:t>
      </w:r>
      <w:r w:rsidRPr="00601774">
        <w:rPr>
          <w:bCs/>
        </w:rPr>
        <w:t xml:space="preserve"> Project </w:t>
      </w:r>
      <w:r>
        <w:rPr>
          <w:bCs/>
        </w:rPr>
        <w:t>A</w:t>
      </w:r>
      <w:r w:rsidRPr="00601774">
        <w:rPr>
          <w:bCs/>
        </w:rPr>
        <w:t xml:space="preserve"> </w:t>
      </w:r>
      <w:r w:rsidRPr="001E0640">
        <w:rPr>
          <w:bCs/>
          <w:i/>
          <w:iCs/>
        </w:rPr>
        <w:t>P</w:t>
      </w:r>
      <w:r w:rsidRPr="001A5F77">
        <w:rPr>
          <w:bCs/>
          <w:i/>
          <w:iCs/>
        </w:rPr>
        <w:t>(t</w:t>
      </w:r>
      <w:r w:rsidRPr="00601774">
        <w:rPr>
          <w:bCs/>
        </w:rPr>
        <w:t xml:space="preserve">)= </w:t>
      </w:r>
      <w:r>
        <w:rPr>
          <w:bCs/>
        </w:rPr>
        <w:t xml:space="preserve">1 </w:t>
      </w:r>
      <w:r w:rsidRPr="00601774">
        <w:rPr>
          <w:bCs/>
        </w:rPr>
        <w:t xml:space="preserve">year defer, Project </w:t>
      </w:r>
      <w:r>
        <w:rPr>
          <w:bCs/>
        </w:rPr>
        <w:t>B</w:t>
      </w:r>
      <w:r w:rsidRPr="00601774">
        <w:rPr>
          <w:bCs/>
        </w:rPr>
        <w:t xml:space="preserve"> </w:t>
      </w:r>
      <w:r w:rsidRPr="001E0640">
        <w:rPr>
          <w:bCs/>
          <w:i/>
          <w:iCs/>
        </w:rPr>
        <w:t>P</w:t>
      </w:r>
      <w:r w:rsidRPr="00601774">
        <w:rPr>
          <w:bCs/>
        </w:rPr>
        <w:t>(</w:t>
      </w:r>
      <w:r w:rsidRPr="001A5F77">
        <w:rPr>
          <w:bCs/>
          <w:i/>
          <w:iCs/>
        </w:rPr>
        <w:t>t</w:t>
      </w:r>
      <w:r w:rsidRPr="00601774">
        <w:rPr>
          <w:bCs/>
        </w:rPr>
        <w:t xml:space="preserve">) = expansion, Project compound </w:t>
      </w:r>
      <w:r w:rsidRPr="001E0640">
        <w:rPr>
          <w:bCs/>
          <w:i/>
          <w:iCs/>
        </w:rPr>
        <w:t>C</w:t>
      </w:r>
      <w:r w:rsidRPr="00601774">
        <w:rPr>
          <w:bCs/>
        </w:rPr>
        <w:t>(</w:t>
      </w:r>
      <w:r w:rsidRPr="001E0640">
        <w:rPr>
          <w:bCs/>
          <w:i/>
          <w:iCs/>
        </w:rPr>
        <w:t>t</w:t>
      </w:r>
      <w:r w:rsidRPr="00601774">
        <w:rPr>
          <w:bCs/>
        </w:rPr>
        <w:t>)= (</w:t>
      </w:r>
      <w:r w:rsidR="006413C5">
        <w:rPr>
          <w:bCs/>
        </w:rPr>
        <w:t>defer and</w:t>
      </w:r>
      <w:r>
        <w:rPr>
          <w:bCs/>
        </w:rPr>
        <w:t xml:space="preserve"> switch). </w:t>
      </w:r>
      <w:r w:rsidRPr="00601774">
        <w:rPr>
          <w:bCs/>
        </w:rPr>
        <w:t xml:space="preserve">The </w:t>
      </w:r>
      <w:r w:rsidR="009E2DDF">
        <w:t>results suggest that</w:t>
      </w:r>
      <w:r w:rsidR="009E2DDF" w:rsidRPr="00601774">
        <w:t xml:space="preserve"> </w:t>
      </w:r>
      <w:r w:rsidR="00E850BC">
        <w:t>both defer</w:t>
      </w:r>
      <w:r w:rsidR="00A64AE6">
        <w:t>ral</w:t>
      </w:r>
      <w:r w:rsidR="00E850BC">
        <w:t xml:space="preserve"> and expansion of </w:t>
      </w:r>
      <w:r w:rsidR="00C448FC">
        <w:t xml:space="preserve">the </w:t>
      </w:r>
      <w:r w:rsidR="00E850BC">
        <w:t>government sector’s options create positive value, where the compound with swi</w:t>
      </w:r>
      <w:r w:rsidR="00C448FC">
        <w:t>t</w:t>
      </w:r>
      <w:r w:rsidR="00E850BC">
        <w:t xml:space="preserve">ch for </w:t>
      </w:r>
      <w:r w:rsidR="00C448FC">
        <w:t xml:space="preserve">corporate </w:t>
      </w:r>
      <w:r w:rsidR="00E850BC">
        <w:t xml:space="preserve">sector had remarkable increase growth opportunities. The </w:t>
      </w:r>
      <w:r w:rsidRPr="00601774">
        <w:t xml:space="preserve">results are </w:t>
      </w:r>
      <w:r w:rsidR="00E850BC">
        <w:t>constant</w:t>
      </w:r>
      <w:r>
        <w:t xml:space="preserve"> with </w:t>
      </w:r>
      <w:r w:rsidRPr="00601774">
        <w:t xml:space="preserve">the results attained </w:t>
      </w:r>
      <w:r w:rsidR="00D85C1A">
        <w:t>earlier (</w:t>
      </w:r>
      <w:proofErr w:type="gramStart"/>
      <w:r w:rsidR="00D85C1A">
        <w:t>i.e.</w:t>
      </w:r>
      <w:proofErr w:type="gramEnd"/>
      <w:r w:rsidR="00D85C1A">
        <w:t xml:space="preserve"> Table 1- Table 2), showing </w:t>
      </w:r>
      <w:r w:rsidRPr="00601774">
        <w:t>a</w:t>
      </w:r>
      <w:r>
        <w:t>n overall</w:t>
      </w:r>
      <w:r w:rsidRPr="00601774">
        <w:t xml:space="preserve"> positive increase.</w:t>
      </w:r>
      <w:r w:rsidR="00D85C1A">
        <w:t xml:space="preserve"> </w:t>
      </w:r>
      <w:r w:rsidR="00990900" w:rsidRPr="00601774">
        <w:t xml:space="preserve">The </w:t>
      </w:r>
      <w:r w:rsidR="00D85C1A">
        <w:t>results</w:t>
      </w:r>
      <w:r w:rsidR="00990900" w:rsidRPr="00601774">
        <w:t xml:space="preserve">, in general, support </w:t>
      </w:r>
      <w:r w:rsidR="00D85C1A">
        <w:t>three Hypotheses</w:t>
      </w:r>
      <w:r w:rsidR="009E2DDF" w:rsidRPr="009E2DDF">
        <w:t xml:space="preserve"> </w:t>
      </w:r>
      <w:r w:rsidR="009E2DDF">
        <w:t xml:space="preserve">we raised. </w:t>
      </w:r>
    </w:p>
    <w:p w14:paraId="65A9C8F9" w14:textId="6A5D1EB1" w:rsidR="003C3471" w:rsidRDefault="00D85C1A" w:rsidP="009D468A">
      <w:pPr>
        <w:spacing w:before="120" w:line="480" w:lineRule="auto"/>
        <w:ind w:firstLine="284"/>
        <w:jc w:val="both"/>
      </w:pPr>
      <w:r>
        <w:t>The results as further demonstrate</w:t>
      </w:r>
      <w:r w:rsidR="009E2DDF">
        <w:t>d</w:t>
      </w:r>
      <w:r>
        <w:t xml:space="preserve"> in Figure 7a and 7 below</w:t>
      </w:r>
      <w:r w:rsidR="00A856EA">
        <w:t>,</w:t>
      </w:r>
      <w:r>
        <w:t xml:space="preserve"> reveal the critical capability issues in the </w:t>
      </w:r>
      <w:r w:rsidR="00A00E88">
        <w:t>uncertain</w:t>
      </w:r>
      <w:r>
        <w:t xml:space="preserve"> environment. T</w:t>
      </w:r>
      <w:r w:rsidR="00990900" w:rsidRPr="00601774">
        <w:t xml:space="preserve">he investment performance landscapes are associated with complex and flexible investment processes. </w:t>
      </w:r>
      <w:r w:rsidR="00990900">
        <w:t xml:space="preserve">And </w:t>
      </w:r>
      <w:r w:rsidR="00990900" w:rsidRPr="00FD2CA7">
        <w:t xml:space="preserve">sequential options are an </w:t>
      </w:r>
      <w:r w:rsidR="00990900">
        <w:t xml:space="preserve">integral part of the strategic dimension of the </w:t>
      </w:r>
      <w:r w:rsidR="00990900" w:rsidRPr="00FD2CA7">
        <w:t>RO</w:t>
      </w:r>
      <w:r w:rsidR="00990900">
        <w:t xml:space="preserve">A, especially in </w:t>
      </w:r>
      <w:r w:rsidR="00990900" w:rsidRPr="00FD2CA7">
        <w:t>growth</w:t>
      </w:r>
      <w:r w:rsidR="00990900">
        <w:t xml:space="preserve"> option scenarios.</w:t>
      </w:r>
      <w:r w:rsidR="00990900" w:rsidRPr="00FD2CA7">
        <w:t xml:space="preserve"> </w:t>
      </w:r>
      <w:r w:rsidR="00990900">
        <w:t>In undertaking the project, the government sector</w:t>
      </w:r>
      <w:r w:rsidR="00990900" w:rsidRPr="00FD2CA7">
        <w:t xml:space="preserve"> </w:t>
      </w:r>
      <w:r w:rsidR="00990900">
        <w:t xml:space="preserve">creates a time-to-build option through exploiting </w:t>
      </w:r>
      <w:r w:rsidR="00990900" w:rsidRPr="00FD2CA7">
        <w:t xml:space="preserve">sequential interdependencies </w:t>
      </w:r>
      <w:r w:rsidR="00990900">
        <w:t>a</w:t>
      </w:r>
      <w:r w:rsidR="00990900" w:rsidRPr="00FD2CA7">
        <w:t>cross time</w:t>
      </w:r>
      <w:r w:rsidR="00990900">
        <w:t>. For example, if the option</w:t>
      </w:r>
      <w:r w:rsidR="00990900" w:rsidRPr="00FD2CA7">
        <w:t xml:space="preserve"> is more enthusiastically received in the market than originally expected</w:t>
      </w:r>
      <w:r w:rsidR="00990900">
        <w:t xml:space="preserve"> in its decision, thus, helping with producing an </w:t>
      </w:r>
      <w:r w:rsidR="00990900" w:rsidRPr="00FD2CA7">
        <w:t>initial-scale project plus a growth option on a future opportunity</w:t>
      </w:r>
      <w:r w:rsidR="00990900">
        <w:t xml:space="preserve"> consistent </w:t>
      </w:r>
      <w:r w:rsidR="00990900" w:rsidRPr="00FD2CA7">
        <w:t xml:space="preserve">with the corporate growth function </w:t>
      </w:r>
      <w:r w:rsidR="00990900">
        <w:t>(</w:t>
      </w:r>
      <w:r w:rsidR="00990900" w:rsidRPr="00FD2CA7">
        <w:t>Myers</w:t>
      </w:r>
      <w:r w:rsidR="00990900">
        <w:t>,</w:t>
      </w:r>
      <w:r w:rsidR="00990900" w:rsidRPr="00FD2CA7">
        <w:t>1977).</w:t>
      </w:r>
    </w:p>
    <w:p w14:paraId="3EFA6A8C" w14:textId="53E46F7D" w:rsidR="00D82661" w:rsidRDefault="00D82661" w:rsidP="00AE6602">
      <w:pPr>
        <w:pStyle w:val="NormalWeb"/>
        <w:spacing w:before="120" w:beforeAutospacing="0" w:after="0" w:afterAutospacing="0" w:line="480" w:lineRule="auto"/>
        <w:ind w:firstLine="284"/>
        <w:jc w:val="both"/>
      </w:pPr>
      <w:r>
        <w:t>Figures 7a and 7b suggest there are capacity limits, and that change in uncertain environments (V=velocity, U=uncertainty, C=complexity, A= ambiguity) as decision-makers acquire knowledge of crucial parameter values. T</w:t>
      </w:r>
      <w:r w:rsidRPr="00456CD4">
        <w:t xml:space="preserve">he decisions in the </w:t>
      </w:r>
      <w:r>
        <w:t>COVID</w:t>
      </w:r>
      <w:r w:rsidRPr="00456CD4">
        <w:t xml:space="preserve">-19 crisis should not </w:t>
      </w:r>
      <w:r>
        <w:t xml:space="preserve">rely </w:t>
      </w:r>
      <w:r w:rsidRPr="00456CD4">
        <w:t>on beliefs and opinions only</w:t>
      </w:r>
      <w:r>
        <w:t>, o</w:t>
      </w:r>
      <w:r w:rsidRPr="00456CD4">
        <w:rPr>
          <w:bCs/>
          <w:iCs/>
          <w:color w:val="000000" w:themeColor="text1"/>
        </w:rPr>
        <w:t>f which only a small proportion is likely to be perceived.</w:t>
      </w:r>
      <w:r>
        <w:rPr>
          <w:bCs/>
          <w:iCs/>
          <w:color w:val="000000" w:themeColor="text1"/>
        </w:rPr>
        <w:t xml:space="preserve"> C</w:t>
      </w:r>
      <w:r w:rsidRPr="00456CD4">
        <w:rPr>
          <w:bCs/>
          <w:iCs/>
          <w:color w:val="000000" w:themeColor="text1"/>
        </w:rPr>
        <w:t>onsequent</w:t>
      </w:r>
      <w:r>
        <w:rPr>
          <w:bCs/>
          <w:iCs/>
          <w:color w:val="000000" w:themeColor="text1"/>
        </w:rPr>
        <w:t>ly,</w:t>
      </w:r>
      <w:r w:rsidRPr="00456CD4">
        <w:rPr>
          <w:bCs/>
          <w:iCs/>
          <w:color w:val="000000" w:themeColor="text1"/>
        </w:rPr>
        <w:t xml:space="preserve"> working on ‘sensing’ </w:t>
      </w:r>
      <w:r>
        <w:rPr>
          <w:bCs/>
          <w:iCs/>
          <w:color w:val="000000" w:themeColor="text1"/>
        </w:rPr>
        <w:t xml:space="preserve">market and broader environment </w:t>
      </w:r>
      <w:r w:rsidRPr="00456CD4">
        <w:rPr>
          <w:bCs/>
          <w:iCs/>
          <w:color w:val="000000" w:themeColor="text1"/>
        </w:rPr>
        <w:t xml:space="preserve">changes </w:t>
      </w:r>
      <w:r>
        <w:rPr>
          <w:bCs/>
          <w:iCs/>
          <w:color w:val="000000" w:themeColor="text1"/>
        </w:rPr>
        <w:t xml:space="preserve">as peoples’ </w:t>
      </w:r>
      <w:r w:rsidRPr="00456CD4">
        <w:rPr>
          <w:bCs/>
          <w:iCs/>
          <w:color w:val="000000" w:themeColor="text1"/>
        </w:rPr>
        <w:t>needs</w:t>
      </w:r>
      <w:r>
        <w:rPr>
          <w:bCs/>
          <w:iCs/>
          <w:color w:val="000000" w:themeColor="text1"/>
        </w:rPr>
        <w:t xml:space="preserve"> change</w:t>
      </w:r>
      <w:r w:rsidRPr="00456CD4">
        <w:rPr>
          <w:bCs/>
          <w:iCs/>
          <w:color w:val="000000" w:themeColor="text1"/>
        </w:rPr>
        <w:t xml:space="preserve">, </w:t>
      </w:r>
      <w:r>
        <w:rPr>
          <w:bCs/>
          <w:iCs/>
          <w:color w:val="000000" w:themeColor="text1"/>
        </w:rPr>
        <w:t xml:space="preserve">will be important, yet they are also the most </w:t>
      </w:r>
      <w:r w:rsidRPr="00456CD4">
        <w:t>difficult</w:t>
      </w:r>
      <w:r>
        <w:t xml:space="preserve"> to assess</w:t>
      </w:r>
      <w:r w:rsidRPr="00456CD4">
        <w:rPr>
          <w:bCs/>
          <w:iCs/>
          <w:color w:val="000000" w:themeColor="text1"/>
        </w:rPr>
        <w:t xml:space="preserve">. </w:t>
      </w:r>
      <w:r>
        <w:rPr>
          <w:bCs/>
          <w:iCs/>
          <w:color w:val="000000" w:themeColor="text1"/>
        </w:rPr>
        <w:t>A</w:t>
      </w:r>
      <w:r w:rsidRPr="00456CD4">
        <w:rPr>
          <w:bCs/>
          <w:iCs/>
          <w:color w:val="000000" w:themeColor="text1"/>
        </w:rPr>
        <w:t xml:space="preserve"> </w:t>
      </w:r>
      <w:r w:rsidRPr="00456CD4">
        <w:t xml:space="preserve">gap </w:t>
      </w:r>
      <w:r>
        <w:t xml:space="preserve">exists </w:t>
      </w:r>
      <w:r w:rsidRPr="00456CD4">
        <w:t>in our knowledge</w:t>
      </w:r>
      <w:r>
        <w:t>, wh</w:t>
      </w:r>
      <w:r w:rsidRPr="00456CD4">
        <w:t xml:space="preserve">ich </w:t>
      </w:r>
      <w:r>
        <w:t xml:space="preserve">remains </w:t>
      </w:r>
      <w:r w:rsidRPr="00456CD4">
        <w:t xml:space="preserve">hidden values </w:t>
      </w:r>
      <w:r>
        <w:t xml:space="preserve">within the </w:t>
      </w:r>
      <w:r w:rsidRPr="00456CD4">
        <w:t xml:space="preserve">managerial ‘properties’ </w:t>
      </w:r>
      <w:r>
        <w:t>of system states' unknowledge (or ignorance)</w:t>
      </w:r>
      <w:r w:rsidRPr="00456CD4">
        <w:t xml:space="preserve">. </w:t>
      </w:r>
      <w:r>
        <w:t>O</w:t>
      </w:r>
      <w:r w:rsidRPr="00456CD4">
        <w:t>ption</w:t>
      </w:r>
      <w:r>
        <w:t>s</w:t>
      </w:r>
      <w:r w:rsidRPr="00456CD4">
        <w:t xml:space="preserve"> </w:t>
      </w:r>
      <w:r>
        <w:t>thinking could</w:t>
      </w:r>
      <w:r w:rsidRPr="00456CD4">
        <w:t xml:space="preserve"> </w:t>
      </w:r>
      <w:r>
        <w:t xml:space="preserve">be challenging </w:t>
      </w:r>
      <w:r w:rsidRPr="00456CD4">
        <w:t xml:space="preserve">when the source of </w:t>
      </w:r>
      <w:r w:rsidRPr="00456CD4">
        <w:lastRenderedPageBreak/>
        <w:t>the uncertainty is conflicting evidence – then the risks of making decisions may be unacceptably high. Moreover, the evidence may continue to be inconsistent, even if more evidence is collected</w:t>
      </w:r>
      <w:r>
        <w:t xml:space="preserve">. </w:t>
      </w:r>
    </w:p>
    <w:p w14:paraId="373C3008" w14:textId="77777777" w:rsidR="007B3D74" w:rsidRDefault="007B3D74" w:rsidP="007B3D74">
      <w:pPr>
        <w:spacing w:after="120" w:line="480" w:lineRule="auto"/>
        <w:ind w:left="-142" w:right="-472"/>
        <w:jc w:val="center"/>
        <w:rPr>
          <w:rFonts w:eastAsia="Calibri"/>
          <w:b/>
          <w:color w:val="000000"/>
        </w:rPr>
      </w:pPr>
      <w:r w:rsidRPr="00FD2CA7">
        <w:rPr>
          <w:rFonts w:eastAsia="Calibri"/>
          <w:b/>
          <w:noProof/>
          <w:color w:val="000000"/>
        </w:rPr>
        <w:drawing>
          <wp:inline distT="0" distB="0" distL="0" distR="0" wp14:anchorId="31A6C70C" wp14:editId="662ED59F">
            <wp:extent cx="2966085" cy="2083561"/>
            <wp:effectExtent l="0" t="0" r="5715" b="0"/>
            <wp:docPr id="10578" name="Picture 1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001310" cy="2108305"/>
                    </a:xfrm>
                    <a:prstGeom prst="rect">
                      <a:avLst/>
                    </a:prstGeom>
                    <a:noFill/>
                    <a:ln>
                      <a:noFill/>
                    </a:ln>
                  </pic:spPr>
                </pic:pic>
              </a:graphicData>
            </a:graphic>
          </wp:inline>
        </w:drawing>
      </w:r>
      <w:r w:rsidRPr="00FD2CA7">
        <w:rPr>
          <w:rFonts w:eastAsia="Calibri"/>
          <w:noProof/>
        </w:rPr>
        <w:drawing>
          <wp:inline distT="0" distB="0" distL="0" distR="0" wp14:anchorId="2DC632CB" wp14:editId="27975D28">
            <wp:extent cx="2933700" cy="2085628"/>
            <wp:effectExtent l="0" t="0" r="0" b="0"/>
            <wp:docPr id="10579" name="Picture 1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58360" cy="2103159"/>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B3D74" w14:paraId="05A15B6C" w14:textId="77777777" w:rsidTr="003D7A29">
        <w:tc>
          <w:tcPr>
            <w:tcW w:w="4508" w:type="dxa"/>
          </w:tcPr>
          <w:p w14:paraId="1B0B8284" w14:textId="5AF192FE" w:rsidR="007B3D74" w:rsidRPr="00475992" w:rsidRDefault="007B3D74" w:rsidP="003D7A29">
            <w:pPr>
              <w:spacing w:line="360" w:lineRule="auto"/>
              <w:rPr>
                <w:rFonts w:eastAsia="Calibri"/>
                <w:bCs/>
                <w:color w:val="000000"/>
                <w:sz w:val="22"/>
                <w:szCs w:val="22"/>
              </w:rPr>
            </w:pPr>
            <w:r w:rsidRPr="00475992">
              <w:rPr>
                <w:rFonts w:eastAsia="Calibri"/>
                <w:b/>
                <w:color w:val="000000"/>
                <w:sz w:val="22"/>
                <w:szCs w:val="22"/>
              </w:rPr>
              <w:t xml:space="preserve">Figure </w:t>
            </w:r>
            <w:r w:rsidR="00D85C1A">
              <w:rPr>
                <w:rFonts w:eastAsia="Calibri"/>
                <w:b/>
                <w:color w:val="000000"/>
                <w:sz w:val="22"/>
                <w:szCs w:val="22"/>
              </w:rPr>
              <w:t>7</w:t>
            </w:r>
            <w:r w:rsidRPr="00475992">
              <w:rPr>
                <w:rFonts w:eastAsia="Calibri"/>
                <w:b/>
                <w:color w:val="000000"/>
                <w:sz w:val="22"/>
                <w:szCs w:val="22"/>
              </w:rPr>
              <w:t>A.</w:t>
            </w:r>
            <w:r w:rsidRPr="00475992">
              <w:rPr>
                <w:rFonts w:eastAsia="Calibri"/>
                <w:bCs/>
                <w:color w:val="000000"/>
                <w:sz w:val="22"/>
                <w:szCs w:val="22"/>
              </w:rPr>
              <w:t xml:space="preserve"> Capability in </w:t>
            </w:r>
            <w:r>
              <w:rPr>
                <w:rFonts w:eastAsia="Calibri"/>
                <w:bCs/>
                <w:color w:val="000000"/>
                <w:sz w:val="22"/>
                <w:szCs w:val="22"/>
              </w:rPr>
              <w:t>s</w:t>
            </w:r>
            <w:r w:rsidRPr="00475992">
              <w:rPr>
                <w:rFonts w:eastAsia="Calibri"/>
                <w:bCs/>
                <w:color w:val="000000"/>
                <w:sz w:val="22"/>
                <w:szCs w:val="22"/>
              </w:rPr>
              <w:t>tates (</w:t>
            </w:r>
            <w:r>
              <w:rPr>
                <w:rFonts w:eastAsia="Calibri"/>
                <w:bCs/>
                <w:color w:val="000000"/>
                <w:sz w:val="22"/>
                <w:szCs w:val="22"/>
              </w:rPr>
              <w:t>s</w:t>
            </w:r>
            <w:r w:rsidRPr="00475992">
              <w:rPr>
                <w:rFonts w:eastAsia="Calibri"/>
                <w:bCs/>
                <w:color w:val="000000"/>
                <w:sz w:val="22"/>
                <w:szCs w:val="22"/>
              </w:rPr>
              <w:t xml:space="preserve">table, less </w:t>
            </w:r>
            <w:r>
              <w:rPr>
                <w:rFonts w:eastAsia="Calibri"/>
                <w:bCs/>
                <w:color w:val="000000"/>
                <w:sz w:val="22"/>
                <w:szCs w:val="22"/>
              </w:rPr>
              <w:t>v</w:t>
            </w:r>
            <w:r w:rsidRPr="00475992">
              <w:rPr>
                <w:rFonts w:eastAsia="Calibri"/>
                <w:bCs/>
                <w:color w:val="000000"/>
                <w:sz w:val="22"/>
                <w:szCs w:val="22"/>
              </w:rPr>
              <w:t xml:space="preserve">elocity </w:t>
            </w:r>
            <w:r>
              <w:rPr>
                <w:rFonts w:eastAsia="Calibri"/>
                <w:bCs/>
                <w:color w:val="000000"/>
                <w:sz w:val="22"/>
                <w:szCs w:val="22"/>
              </w:rPr>
              <w:t>e</w:t>
            </w:r>
            <w:r w:rsidRPr="00475992">
              <w:rPr>
                <w:rFonts w:eastAsia="Calibri"/>
                <w:bCs/>
                <w:color w:val="000000"/>
                <w:sz w:val="22"/>
                <w:szCs w:val="22"/>
              </w:rPr>
              <w:t xml:space="preserve">nvironment): Mean </w:t>
            </w:r>
            <w:r>
              <w:rPr>
                <w:rFonts w:eastAsia="Calibri"/>
                <w:bCs/>
                <w:color w:val="000000"/>
                <w:sz w:val="22"/>
                <w:szCs w:val="22"/>
              </w:rPr>
              <w:t>s</w:t>
            </w:r>
            <w:r w:rsidRPr="00475992">
              <w:rPr>
                <w:rFonts w:eastAsia="Calibri"/>
                <w:bCs/>
                <w:color w:val="000000"/>
                <w:sz w:val="22"/>
                <w:szCs w:val="22"/>
              </w:rPr>
              <w:t>ample-</w:t>
            </w:r>
            <w:r>
              <w:rPr>
                <w:rFonts w:eastAsia="Calibri"/>
                <w:bCs/>
                <w:color w:val="000000"/>
                <w:sz w:val="22"/>
                <w:szCs w:val="22"/>
              </w:rPr>
              <w:t>p</w:t>
            </w:r>
            <w:r w:rsidRPr="00475992">
              <w:rPr>
                <w:rFonts w:eastAsia="Calibri"/>
                <w:bCs/>
                <w:color w:val="000000"/>
                <w:sz w:val="22"/>
                <w:szCs w:val="22"/>
              </w:rPr>
              <w:t xml:space="preserve">ath </w:t>
            </w:r>
            <w:r>
              <w:rPr>
                <w:rFonts w:eastAsia="Calibri"/>
                <w:bCs/>
                <w:color w:val="000000"/>
                <w:sz w:val="22"/>
                <w:szCs w:val="22"/>
              </w:rPr>
              <w:t>d</w:t>
            </w:r>
            <w:r w:rsidRPr="00475992">
              <w:rPr>
                <w:rFonts w:eastAsia="Calibri"/>
                <w:bCs/>
                <w:color w:val="000000"/>
                <w:sz w:val="22"/>
                <w:szCs w:val="22"/>
              </w:rPr>
              <w:t xml:space="preserve">istribution against the </w:t>
            </w:r>
            <w:r>
              <w:rPr>
                <w:rFonts w:eastAsia="Calibri"/>
                <w:bCs/>
                <w:color w:val="000000"/>
                <w:sz w:val="22"/>
                <w:szCs w:val="22"/>
              </w:rPr>
              <w:t>c</w:t>
            </w:r>
            <w:r w:rsidRPr="00475992">
              <w:rPr>
                <w:rFonts w:eastAsia="Calibri"/>
                <w:bCs/>
                <w:color w:val="000000"/>
                <w:sz w:val="22"/>
                <w:szCs w:val="22"/>
              </w:rPr>
              <w:t xml:space="preserve">apability </w:t>
            </w:r>
            <w:r>
              <w:rPr>
                <w:rFonts w:eastAsia="Calibri"/>
                <w:bCs/>
                <w:color w:val="000000"/>
                <w:sz w:val="22"/>
                <w:szCs w:val="22"/>
              </w:rPr>
              <w:t>t</w:t>
            </w:r>
            <w:r w:rsidRPr="00475992">
              <w:rPr>
                <w:rFonts w:eastAsia="Calibri"/>
                <w:bCs/>
                <w:color w:val="000000"/>
                <w:sz w:val="22"/>
                <w:szCs w:val="22"/>
              </w:rPr>
              <w:t>hreshold (</w:t>
            </w:r>
            <w:r>
              <w:rPr>
                <w:rFonts w:eastAsia="Calibri"/>
                <w:bCs/>
                <w:i/>
                <w:iCs/>
                <w:color w:val="000000"/>
                <w:sz w:val="22"/>
                <w:szCs w:val="22"/>
              </w:rPr>
              <w:t>x</w:t>
            </w:r>
            <w:r>
              <w:rPr>
                <w:rFonts w:eastAsia="Calibri"/>
                <w:bCs/>
                <w:color w:val="000000"/>
                <w:sz w:val="22"/>
                <w:szCs w:val="22"/>
              </w:rPr>
              <w:t>=0</w:t>
            </w:r>
            <w:r w:rsidRPr="00475992">
              <w:rPr>
                <w:rFonts w:eastAsia="Calibri"/>
                <w:bCs/>
                <w:color w:val="000000"/>
                <w:sz w:val="22"/>
                <w:szCs w:val="22"/>
              </w:rPr>
              <w:t xml:space="preserve">.60) </w:t>
            </w:r>
          </w:p>
        </w:tc>
        <w:tc>
          <w:tcPr>
            <w:tcW w:w="4508" w:type="dxa"/>
          </w:tcPr>
          <w:p w14:paraId="239AD31A" w14:textId="427437DA" w:rsidR="007B3D74" w:rsidRPr="00475992" w:rsidRDefault="007B3D74" w:rsidP="003D7A29">
            <w:pPr>
              <w:spacing w:after="120" w:line="360" w:lineRule="auto"/>
              <w:rPr>
                <w:rFonts w:eastAsia="Calibri"/>
                <w:bCs/>
                <w:color w:val="000000"/>
                <w:sz w:val="22"/>
                <w:szCs w:val="22"/>
              </w:rPr>
            </w:pPr>
            <w:r w:rsidRPr="00475992">
              <w:rPr>
                <w:rFonts w:eastAsia="Calibri"/>
                <w:b/>
                <w:color w:val="000000"/>
                <w:sz w:val="22"/>
                <w:szCs w:val="22"/>
              </w:rPr>
              <w:t xml:space="preserve">Figure </w:t>
            </w:r>
            <w:r w:rsidR="00D85C1A">
              <w:rPr>
                <w:rFonts w:eastAsia="Calibri"/>
                <w:b/>
                <w:color w:val="000000"/>
                <w:sz w:val="22"/>
                <w:szCs w:val="22"/>
              </w:rPr>
              <w:t>7</w:t>
            </w:r>
            <w:r w:rsidRPr="00475992">
              <w:rPr>
                <w:rFonts w:eastAsia="Calibri"/>
                <w:b/>
                <w:color w:val="000000"/>
                <w:sz w:val="22"/>
                <w:szCs w:val="22"/>
              </w:rPr>
              <w:t>b.</w:t>
            </w:r>
            <w:r w:rsidRPr="00475992">
              <w:rPr>
                <w:rFonts w:eastAsia="Calibri"/>
                <w:bCs/>
                <w:color w:val="000000"/>
                <w:sz w:val="22"/>
                <w:szCs w:val="22"/>
              </w:rPr>
              <w:t xml:space="preserve"> </w:t>
            </w:r>
            <w:r>
              <w:rPr>
                <w:rFonts w:eastAsia="Calibri"/>
                <w:bCs/>
                <w:color w:val="000000"/>
                <w:sz w:val="22"/>
                <w:szCs w:val="22"/>
              </w:rPr>
              <w:t>c</w:t>
            </w:r>
            <w:r w:rsidRPr="00475992">
              <w:rPr>
                <w:rFonts w:eastAsia="Calibri"/>
                <w:bCs/>
                <w:color w:val="000000"/>
                <w:sz w:val="22"/>
                <w:szCs w:val="22"/>
              </w:rPr>
              <w:t xml:space="preserve">apability </w:t>
            </w:r>
            <w:r>
              <w:rPr>
                <w:rFonts w:eastAsia="Calibri"/>
                <w:bCs/>
                <w:color w:val="000000"/>
                <w:sz w:val="22"/>
                <w:szCs w:val="22"/>
              </w:rPr>
              <w:t>d</w:t>
            </w:r>
            <w:r w:rsidRPr="00475992">
              <w:rPr>
                <w:rFonts w:eastAsia="Calibri"/>
                <w:bCs/>
                <w:color w:val="000000"/>
                <w:sz w:val="22"/>
                <w:szCs w:val="22"/>
              </w:rPr>
              <w:t xml:space="preserve">ecreases while </w:t>
            </w:r>
            <w:r>
              <w:rPr>
                <w:rFonts w:eastAsia="Calibri"/>
                <w:bCs/>
                <w:color w:val="000000"/>
                <w:sz w:val="22"/>
                <w:szCs w:val="22"/>
              </w:rPr>
              <w:t>c</w:t>
            </w:r>
            <w:r w:rsidRPr="00475992">
              <w:rPr>
                <w:rFonts w:eastAsia="Calibri"/>
                <w:bCs/>
                <w:color w:val="000000"/>
                <w:sz w:val="22"/>
                <w:szCs w:val="22"/>
              </w:rPr>
              <w:t xml:space="preserve">omplexity in </w:t>
            </w:r>
            <w:r>
              <w:rPr>
                <w:rFonts w:eastAsia="Calibri"/>
                <w:bCs/>
                <w:color w:val="000000"/>
                <w:sz w:val="22"/>
                <w:szCs w:val="22"/>
              </w:rPr>
              <w:t>s</w:t>
            </w:r>
            <w:r w:rsidRPr="00475992">
              <w:rPr>
                <w:rFonts w:eastAsia="Calibri"/>
                <w:bCs/>
                <w:color w:val="000000"/>
                <w:sz w:val="22"/>
                <w:szCs w:val="22"/>
              </w:rPr>
              <w:t>tates (V</w:t>
            </w:r>
            <w:r>
              <w:rPr>
                <w:rFonts w:eastAsia="Calibri"/>
                <w:bCs/>
                <w:color w:val="000000"/>
                <w:sz w:val="22"/>
                <w:szCs w:val="22"/>
              </w:rPr>
              <w:t>U</w:t>
            </w:r>
            <w:r w:rsidRPr="00475992">
              <w:rPr>
                <w:rFonts w:eastAsia="Calibri"/>
                <w:bCs/>
                <w:color w:val="000000"/>
                <w:sz w:val="22"/>
                <w:szCs w:val="22"/>
              </w:rPr>
              <w:t xml:space="preserve">CA) </w:t>
            </w:r>
            <w:r>
              <w:rPr>
                <w:rFonts w:eastAsia="Calibri"/>
                <w:bCs/>
                <w:color w:val="000000"/>
                <w:sz w:val="22"/>
                <w:szCs w:val="22"/>
              </w:rPr>
              <w:t>i</w:t>
            </w:r>
            <w:r w:rsidRPr="00475992">
              <w:rPr>
                <w:rFonts w:eastAsia="Calibri"/>
                <w:bCs/>
                <w:color w:val="000000"/>
                <w:sz w:val="22"/>
                <w:szCs w:val="22"/>
              </w:rPr>
              <w:t xml:space="preserve">ncreases </w:t>
            </w:r>
            <w:r>
              <w:rPr>
                <w:rFonts w:eastAsia="Calibri"/>
                <w:bCs/>
                <w:color w:val="000000"/>
                <w:sz w:val="22"/>
                <w:szCs w:val="22"/>
              </w:rPr>
              <w:t xml:space="preserve">against </w:t>
            </w:r>
            <w:r w:rsidRPr="00475992">
              <w:rPr>
                <w:rFonts w:eastAsia="Calibri"/>
                <w:bCs/>
                <w:color w:val="000000"/>
                <w:sz w:val="22"/>
                <w:szCs w:val="22"/>
              </w:rPr>
              <w:t xml:space="preserve">the </w:t>
            </w:r>
            <w:r>
              <w:rPr>
                <w:rFonts w:eastAsia="Calibri"/>
                <w:bCs/>
                <w:color w:val="000000"/>
                <w:sz w:val="22"/>
                <w:szCs w:val="22"/>
              </w:rPr>
              <w:t>c</w:t>
            </w:r>
            <w:r w:rsidRPr="00475992">
              <w:rPr>
                <w:rFonts w:eastAsia="Calibri"/>
                <w:bCs/>
                <w:color w:val="000000"/>
                <w:sz w:val="22"/>
                <w:szCs w:val="22"/>
              </w:rPr>
              <w:t xml:space="preserve">apability </w:t>
            </w:r>
            <w:r>
              <w:rPr>
                <w:rFonts w:eastAsia="Calibri"/>
                <w:bCs/>
                <w:color w:val="000000"/>
                <w:sz w:val="22"/>
                <w:szCs w:val="22"/>
              </w:rPr>
              <w:t>t</w:t>
            </w:r>
            <w:r w:rsidRPr="00475992">
              <w:rPr>
                <w:rFonts w:eastAsia="Calibri"/>
                <w:bCs/>
                <w:color w:val="000000"/>
                <w:sz w:val="22"/>
                <w:szCs w:val="22"/>
              </w:rPr>
              <w:t xml:space="preserve">hreshold </w:t>
            </w:r>
            <w:r>
              <w:rPr>
                <w:rFonts w:eastAsia="Calibri"/>
                <w:bCs/>
                <w:color w:val="000000"/>
                <w:sz w:val="22"/>
                <w:szCs w:val="22"/>
              </w:rPr>
              <w:t>(</w:t>
            </w:r>
            <w:r w:rsidRPr="003F31CA">
              <w:rPr>
                <w:rFonts w:eastAsia="Calibri"/>
                <w:bCs/>
                <w:i/>
                <w:iCs/>
                <w:color w:val="000000"/>
                <w:sz w:val="22"/>
                <w:szCs w:val="22"/>
              </w:rPr>
              <w:t>x</w:t>
            </w:r>
            <w:r>
              <w:rPr>
                <w:rFonts w:eastAsia="Calibri"/>
                <w:bCs/>
                <w:color w:val="000000"/>
                <w:sz w:val="22"/>
                <w:szCs w:val="22"/>
              </w:rPr>
              <w:t>=0</w:t>
            </w:r>
            <w:r w:rsidRPr="00475992">
              <w:rPr>
                <w:rFonts w:eastAsia="Calibri"/>
                <w:bCs/>
                <w:color w:val="000000"/>
                <w:sz w:val="22"/>
                <w:szCs w:val="22"/>
              </w:rPr>
              <w:t xml:space="preserve">.60) </w:t>
            </w:r>
            <w:r w:rsidRPr="00475992">
              <w:rPr>
                <w:sz w:val="22"/>
                <w:szCs w:val="22"/>
              </w:rPr>
              <w:t xml:space="preserve"> </w:t>
            </w:r>
          </w:p>
        </w:tc>
      </w:tr>
    </w:tbl>
    <w:p w14:paraId="01D0330C" w14:textId="77777777" w:rsidR="00D82661" w:rsidRPr="009D475C" w:rsidRDefault="00D82661" w:rsidP="00AE6602">
      <w:pPr>
        <w:pStyle w:val="NormalWeb"/>
        <w:spacing w:before="120" w:beforeAutospacing="0" w:after="0" w:afterAutospacing="0" w:line="480" w:lineRule="auto"/>
        <w:ind w:firstLine="284"/>
        <w:jc w:val="both"/>
      </w:pPr>
    </w:p>
    <w:p w14:paraId="6DC0A4E1" w14:textId="3669FD6F" w:rsidR="00FB0DBF" w:rsidRPr="00D8788D" w:rsidRDefault="00FB0DBF" w:rsidP="00D8788D">
      <w:pPr>
        <w:spacing w:before="120" w:line="480" w:lineRule="auto"/>
        <w:rPr>
          <w:b/>
          <w:bCs/>
        </w:rPr>
      </w:pPr>
      <w:r w:rsidRPr="00D8788D">
        <w:rPr>
          <w:b/>
          <w:bCs/>
        </w:rPr>
        <w:t>Discussion</w:t>
      </w:r>
    </w:p>
    <w:p w14:paraId="4000B40F" w14:textId="3AF4D40D" w:rsidR="00F35476" w:rsidRPr="007644FF" w:rsidRDefault="005365E4" w:rsidP="00F35476">
      <w:pPr>
        <w:pStyle w:val="NormalWeb"/>
        <w:spacing w:before="120" w:beforeAutospacing="0" w:after="0" w:afterAutospacing="0" w:line="480" w:lineRule="auto"/>
        <w:rPr>
          <w:i/>
          <w:iCs/>
        </w:rPr>
      </w:pPr>
      <w:r w:rsidRPr="007644FF">
        <w:rPr>
          <w:i/>
          <w:iCs/>
        </w:rPr>
        <w:t>Contribution</w:t>
      </w:r>
      <w:r w:rsidR="006F47C7" w:rsidRPr="007644FF">
        <w:rPr>
          <w:i/>
          <w:iCs/>
        </w:rPr>
        <w:t>s</w:t>
      </w:r>
      <w:r w:rsidRPr="007644FF">
        <w:rPr>
          <w:i/>
          <w:iCs/>
        </w:rPr>
        <w:t xml:space="preserve"> to dynamic capability building </w:t>
      </w:r>
      <w:r w:rsidR="00F35476" w:rsidRPr="007644FF">
        <w:rPr>
          <w:i/>
          <w:iCs/>
        </w:rPr>
        <w:t xml:space="preserve">under </w:t>
      </w:r>
      <w:r w:rsidRPr="007644FF">
        <w:rPr>
          <w:i/>
          <w:iCs/>
        </w:rPr>
        <w:t xml:space="preserve">the conditions of </w:t>
      </w:r>
      <w:r w:rsidR="00F35476" w:rsidRPr="007644FF">
        <w:rPr>
          <w:i/>
          <w:iCs/>
        </w:rPr>
        <w:t>uncertainty</w:t>
      </w:r>
    </w:p>
    <w:p w14:paraId="76086F0D" w14:textId="77777777" w:rsidR="00F35476" w:rsidRDefault="00F35476" w:rsidP="00D8788D">
      <w:pPr>
        <w:pStyle w:val="NormalWeb"/>
        <w:spacing w:before="120" w:beforeAutospacing="0" w:after="0" w:afterAutospacing="0" w:line="480" w:lineRule="auto"/>
        <w:jc w:val="both"/>
      </w:pPr>
      <w:r>
        <w:t xml:space="preserve">We have analysed how government actions changed the values of corporate sector assets, and consequently, changed the values of corporate options. We have also shown how the ROA can be used to structure decisions, both government and corporate, under conditions of uncertainty, but the ROA to decision making, as </w:t>
      </w:r>
      <w:proofErr w:type="spellStart"/>
      <w:r>
        <w:t>Trigeorgis</w:t>
      </w:r>
      <w:proofErr w:type="spellEnd"/>
      <w:r>
        <w:t xml:space="preserve"> and </w:t>
      </w:r>
      <w:proofErr w:type="spellStart"/>
      <w:r>
        <w:t>Reuer</w:t>
      </w:r>
      <w:proofErr w:type="spellEnd"/>
      <w:r>
        <w:t xml:space="preserve"> (2017) note, requires competencies in problem structuring, </w:t>
      </w:r>
      <w:proofErr w:type="gramStart"/>
      <w:r>
        <w:t>valuation</w:t>
      </w:r>
      <w:proofErr w:type="gramEnd"/>
      <w:r>
        <w:t xml:space="preserve"> and modelling, and planning for implementation. Scholars have argued that during the Pandemic, some</w:t>
      </w:r>
      <w:r w:rsidRPr="00685E74">
        <w:t xml:space="preserve"> actions appear to have been grounded in desperation rather than through the exercise of well-designed options, which may have limited the effectiveness</w:t>
      </w:r>
      <w:r>
        <w:t xml:space="preserve"> of ROA as an investment tool during the current crisis. Research also suggests that h</w:t>
      </w:r>
      <w:r w:rsidRPr="00685E74">
        <w:t xml:space="preserve">elping managers figure out which options to create before the next </w:t>
      </w:r>
      <w:r>
        <w:t>P</w:t>
      </w:r>
      <w:r w:rsidRPr="00685E74">
        <w:t xml:space="preserve">andemic and to </w:t>
      </w:r>
      <w:r w:rsidRPr="00685E74">
        <w:lastRenderedPageBreak/>
        <w:t xml:space="preserve">determine when </w:t>
      </w:r>
      <w:r>
        <w:t>such</w:t>
      </w:r>
      <w:r w:rsidRPr="00685E74">
        <w:t xml:space="preserve"> options </w:t>
      </w:r>
      <w:r>
        <w:t xml:space="preserve">could </w:t>
      </w:r>
      <w:r w:rsidRPr="00685E74">
        <w:t xml:space="preserve">be exercised as the next </w:t>
      </w:r>
      <w:r>
        <w:t>P</w:t>
      </w:r>
      <w:r w:rsidRPr="00685E74">
        <w:t>andemic unfolds</w:t>
      </w:r>
      <w:r>
        <w:t>,</w:t>
      </w:r>
      <w:r w:rsidRPr="00685E74">
        <w:t xml:space="preserve"> represents a clear opportunity for supply chain scholars to contribute to theory and practice. </w:t>
      </w:r>
      <w:r w:rsidRPr="00FD2CA7">
        <w:t xml:space="preserve">The uncertainty factor challenges the value of resources that </w:t>
      </w:r>
      <w:r>
        <w:t xml:space="preserve">will </w:t>
      </w:r>
      <w:r w:rsidRPr="00FD2CA7">
        <w:t xml:space="preserve">change </w:t>
      </w:r>
      <w:r>
        <w:t>during t</w:t>
      </w:r>
      <w:r w:rsidRPr="00FD2CA7">
        <w:t xml:space="preserve">he process of their development. </w:t>
      </w:r>
    </w:p>
    <w:p w14:paraId="19EA7553" w14:textId="1F88EF1B" w:rsidR="009D468A" w:rsidRPr="00FB0DBF" w:rsidRDefault="00BE0BE9" w:rsidP="005365E4">
      <w:pPr>
        <w:spacing w:before="120" w:line="480" w:lineRule="auto"/>
        <w:ind w:firstLine="284"/>
        <w:jc w:val="both"/>
        <w:rPr>
          <w:b/>
          <w:bCs/>
        </w:rPr>
      </w:pPr>
      <w:r>
        <w:rPr>
          <w:bCs/>
          <w:iCs/>
          <w:color w:val="000000" w:themeColor="text1"/>
        </w:rPr>
        <w:t xml:space="preserve">The critical issue raised during the covid-19 </w:t>
      </w:r>
      <w:r w:rsidR="005209A6">
        <w:rPr>
          <w:bCs/>
          <w:iCs/>
          <w:color w:val="000000" w:themeColor="text1"/>
        </w:rPr>
        <w:t xml:space="preserve">Pandemic </w:t>
      </w:r>
      <w:r>
        <w:rPr>
          <w:bCs/>
          <w:iCs/>
          <w:color w:val="000000" w:themeColor="text1"/>
        </w:rPr>
        <w:t xml:space="preserve">was </w:t>
      </w:r>
      <w:r w:rsidRPr="007376F0">
        <w:t>uncertainty</w:t>
      </w:r>
      <w:r>
        <w:t>,</w:t>
      </w:r>
      <w:r w:rsidRPr="007376F0">
        <w:t xml:space="preserve"> </w:t>
      </w:r>
      <w:r>
        <w:t>due to a</w:t>
      </w:r>
      <w:r w:rsidRPr="007376F0">
        <w:t xml:space="preserve"> lack of information</w:t>
      </w:r>
      <w:r>
        <w:t xml:space="preserve"> </w:t>
      </w:r>
      <w:r w:rsidR="00C448FC">
        <w:t xml:space="preserve">on </w:t>
      </w:r>
      <w:r w:rsidRPr="005D3818">
        <w:rPr>
          <w:bCs/>
        </w:rPr>
        <w:t xml:space="preserve">the speed of diffusion </w:t>
      </w:r>
      <w:r>
        <w:rPr>
          <w:bCs/>
        </w:rPr>
        <w:t>and the speed of response i</w:t>
      </w:r>
      <w:r w:rsidRPr="005D3818">
        <w:rPr>
          <w:bCs/>
        </w:rPr>
        <w:t>n the early stages of the virus</w:t>
      </w:r>
      <w:r>
        <w:t>. Under the circumstance, i</w:t>
      </w:r>
      <w:r w:rsidRPr="007376F0">
        <w:t xml:space="preserve">f information </w:t>
      </w:r>
      <w:r>
        <w:t>suffices for</w:t>
      </w:r>
      <w:r w:rsidRPr="007376F0">
        <w:t xml:space="preserve"> opening lockdowns in the first place, more information can be gathered during the process on how the process can be continued</w:t>
      </w:r>
      <w:r>
        <w:t xml:space="preserve">. This is explained by </w:t>
      </w:r>
      <w:proofErr w:type="spellStart"/>
      <w:r w:rsidRPr="005D3818">
        <w:rPr>
          <w:bCs/>
        </w:rPr>
        <w:t>Chakhovich</w:t>
      </w:r>
      <w:proofErr w:type="spellEnd"/>
      <w:r w:rsidRPr="005D3818">
        <w:rPr>
          <w:bCs/>
        </w:rPr>
        <w:t xml:space="preserve"> </w:t>
      </w:r>
      <w:r>
        <w:rPr>
          <w:bCs/>
        </w:rPr>
        <w:t>and</w:t>
      </w:r>
      <w:r w:rsidRPr="005D3818">
        <w:rPr>
          <w:bCs/>
        </w:rPr>
        <w:t xml:space="preserve"> </w:t>
      </w:r>
      <w:proofErr w:type="spellStart"/>
      <w:r w:rsidRPr="005D3818">
        <w:rPr>
          <w:bCs/>
        </w:rPr>
        <w:t>Marttila</w:t>
      </w:r>
      <w:proofErr w:type="spellEnd"/>
      <w:r w:rsidRPr="005D3818">
        <w:rPr>
          <w:bCs/>
        </w:rPr>
        <w:t xml:space="preserve"> </w:t>
      </w:r>
      <w:r>
        <w:rPr>
          <w:bCs/>
        </w:rPr>
        <w:t>(</w:t>
      </w:r>
      <w:r w:rsidRPr="005D3818">
        <w:rPr>
          <w:bCs/>
        </w:rPr>
        <w:t>2020</w:t>
      </w:r>
      <w:r>
        <w:rPr>
          <w:bCs/>
        </w:rPr>
        <w:t>) as a time-to-build option.</w:t>
      </w:r>
      <w:r w:rsidRPr="00BE0BE9">
        <w:t xml:space="preserve"> </w:t>
      </w:r>
      <w:r>
        <w:t>Using a ROA, we modelled corporate actions as responses to decisions taken by governments to manage the COVID-19 crisis. In</w:t>
      </w:r>
      <w:r w:rsidRPr="00456CD4">
        <w:t xml:space="preserve"> Dec 2019</w:t>
      </w:r>
      <w:r>
        <w:t xml:space="preserve"> few people </w:t>
      </w:r>
      <w:r w:rsidRPr="00456CD4">
        <w:t xml:space="preserve">could </w:t>
      </w:r>
      <w:r>
        <w:t>have</w:t>
      </w:r>
      <w:r w:rsidRPr="00456CD4">
        <w:t xml:space="preserve"> anticipated the </w:t>
      </w:r>
      <w:r w:rsidR="005209A6">
        <w:t>P</w:t>
      </w:r>
      <w:r w:rsidR="005209A6" w:rsidRPr="00456CD4">
        <w:t>andemic</w:t>
      </w:r>
      <w:r>
        <w:t>. More</w:t>
      </w:r>
      <w:r w:rsidRPr="00456CD4">
        <w:t xml:space="preserve"> likely it was an ‘unknown-unknown’</w:t>
      </w:r>
      <w:r>
        <w:t>.</w:t>
      </w:r>
      <w:r w:rsidRPr="00456CD4">
        <w:t xml:space="preserve"> </w:t>
      </w:r>
      <w:r>
        <w:t xml:space="preserve">So, </w:t>
      </w:r>
      <w:r w:rsidRPr="00456CD4">
        <w:t xml:space="preserve">attention turns to </w:t>
      </w:r>
      <w:r>
        <w:t xml:space="preserve">how society </w:t>
      </w:r>
      <w:r w:rsidRPr="00456CD4">
        <w:t>respon</w:t>
      </w:r>
      <w:r>
        <w:t>d</w:t>
      </w:r>
      <w:r w:rsidRPr="00456CD4">
        <w:t>s</w:t>
      </w:r>
      <w:r>
        <w:t xml:space="preserve"> once it is recognised the virus’ spread was more rapid and more widespread than what was known from the transmission of other viruses such as the flu virus. Further, it became clear in early 2020 that COVID-19 would have devastating health consequences that were incomparable with other known viruses. While governments around the world varied both in their response and the</w:t>
      </w:r>
      <w:r w:rsidR="005435FF">
        <w:t>ir timing</w:t>
      </w:r>
      <w:r>
        <w:t>, in general, actions were rapid, deep, and far-reaching, with unprecedented consequences for the corporate sector.</w:t>
      </w:r>
      <w:r w:rsidR="00DF5CA2">
        <w:t xml:space="preserve"> During the time, a set of issues raised concern ‘opening the </w:t>
      </w:r>
      <w:proofErr w:type="gramStart"/>
      <w:r w:rsidR="00DF5CA2">
        <w:t>black-box</w:t>
      </w:r>
      <w:proofErr w:type="gramEnd"/>
      <w:r w:rsidR="00DF5CA2">
        <w:t xml:space="preserve"> of organi</w:t>
      </w:r>
      <w:r w:rsidR="006F1E41">
        <w:t>s</w:t>
      </w:r>
      <w:r w:rsidR="00DF5CA2">
        <w:t xml:space="preserve">ational capabilities. </w:t>
      </w:r>
    </w:p>
    <w:p w14:paraId="12FC67A3" w14:textId="5BCA0539" w:rsidR="00363220" w:rsidRDefault="00FA7E5E" w:rsidP="00363220">
      <w:pPr>
        <w:pStyle w:val="NormalWeb"/>
        <w:spacing w:before="120" w:beforeAutospacing="0" w:after="0" w:afterAutospacing="0" w:line="480" w:lineRule="auto"/>
        <w:ind w:firstLine="284"/>
        <w:jc w:val="both"/>
      </w:pPr>
      <w:r>
        <w:t xml:space="preserve">We contribute to research </w:t>
      </w:r>
      <w:r w:rsidR="00B12A5E">
        <w:t xml:space="preserve">by </w:t>
      </w:r>
      <w:r w:rsidR="00A00E88">
        <w:t>fill</w:t>
      </w:r>
      <w:r w:rsidR="00B12A5E">
        <w:t>ing</w:t>
      </w:r>
      <w:r w:rsidR="00A00E88">
        <w:t xml:space="preserve"> </w:t>
      </w:r>
      <w:r w:rsidR="00B12A5E">
        <w:t>a</w:t>
      </w:r>
      <w:r w:rsidR="00A00E88">
        <w:t xml:space="preserve"> </w:t>
      </w:r>
      <w:r>
        <w:t>gap</w:t>
      </w:r>
      <w:r w:rsidR="00B12A5E">
        <w:t xml:space="preserve"> while</w:t>
      </w:r>
      <w:r>
        <w:t xml:space="preserve"> </w:t>
      </w:r>
      <w:r w:rsidR="00B12A5E">
        <w:t>w</w:t>
      </w:r>
      <w:r w:rsidR="006F47C7">
        <w:t xml:space="preserve">e </w:t>
      </w:r>
      <w:r w:rsidR="006413C5">
        <w:t>demonstrate</w:t>
      </w:r>
      <w:r w:rsidR="00A00E88">
        <w:t xml:space="preserve"> </w:t>
      </w:r>
      <w:r>
        <w:t>that m</w:t>
      </w:r>
      <w:r w:rsidRPr="00456CD4">
        <w:t xml:space="preserve">anaging volatile, uncertain, complex, and ambiguous environments (VUCA, as described by </w:t>
      </w:r>
      <w:proofErr w:type="spellStart"/>
      <w:r w:rsidRPr="00456CD4">
        <w:t>Schoemaker</w:t>
      </w:r>
      <w:proofErr w:type="spellEnd"/>
      <w:r w:rsidRPr="00456CD4">
        <w:t xml:space="preserve"> et al., 2018) requires dynamic capabilities, which are to be distinguished from ordinary capabilities</w:t>
      </w:r>
      <w:r>
        <w:t xml:space="preserve"> (e.g., operating routines based on accumulated experiences)</w:t>
      </w:r>
      <w:r w:rsidRPr="00456CD4">
        <w:t>.</w:t>
      </w:r>
      <w:r w:rsidR="006F47C7">
        <w:t xml:space="preserve"> </w:t>
      </w:r>
      <w:r w:rsidR="00F60E88">
        <w:t xml:space="preserve">To </w:t>
      </w:r>
      <w:r w:rsidR="00F60E88" w:rsidRPr="00FD2CA7">
        <w:t xml:space="preserve">accommodate </w:t>
      </w:r>
      <w:r w:rsidR="00F60E88">
        <w:t>our</w:t>
      </w:r>
      <w:r w:rsidR="00F60E88" w:rsidRPr="00FD2CA7">
        <w:t xml:space="preserve"> </w:t>
      </w:r>
      <w:r w:rsidR="00F60E88">
        <w:t>conjectures,</w:t>
      </w:r>
      <w:r w:rsidR="00F60E88" w:rsidRPr="00FD2CA7">
        <w:t xml:space="preserve"> </w:t>
      </w:r>
      <w:r w:rsidR="00F60E88">
        <w:t xml:space="preserve">we offer the ROA </w:t>
      </w:r>
      <w:r w:rsidR="00ED66D9">
        <w:t xml:space="preserve">as a tool for structuring </w:t>
      </w:r>
      <w:r w:rsidR="00544EB2">
        <w:t xml:space="preserve">time-consuming resource/capability </w:t>
      </w:r>
      <w:r w:rsidR="00ED66D9">
        <w:t xml:space="preserve">accumulation </w:t>
      </w:r>
      <w:r w:rsidR="00544EB2">
        <w:t>p</w:t>
      </w:r>
      <w:r w:rsidR="00F60E88" w:rsidRPr="00FD2CA7">
        <w:t>rocess</w:t>
      </w:r>
      <w:r w:rsidR="00544EB2">
        <w:t>es</w:t>
      </w:r>
      <w:r w:rsidR="00F60E88" w:rsidRPr="00FD2CA7">
        <w:t xml:space="preserve"> </w:t>
      </w:r>
      <w:r w:rsidR="00F60E88">
        <w:t xml:space="preserve">that </w:t>
      </w:r>
      <w:r w:rsidR="005435FF">
        <w:t>simultaneously require the resolution of several problems</w:t>
      </w:r>
      <w:r w:rsidR="00F60E88" w:rsidRPr="00FD2CA7">
        <w:t xml:space="preserve">. </w:t>
      </w:r>
      <w:r w:rsidR="00F60E88">
        <w:t xml:space="preserve">In our ROA, </w:t>
      </w:r>
      <w:r w:rsidR="00F60E88" w:rsidRPr="0014184E">
        <w:t xml:space="preserve">the </w:t>
      </w:r>
      <w:r w:rsidR="00F60E88" w:rsidRPr="0014184E">
        <w:lastRenderedPageBreak/>
        <w:t xml:space="preserve">building phase </w:t>
      </w:r>
      <w:r w:rsidR="00544EB2">
        <w:t>provide</w:t>
      </w:r>
      <w:r w:rsidR="004901A8">
        <w:t>s</w:t>
      </w:r>
      <w:r w:rsidR="00544EB2">
        <w:t xml:space="preserve"> </w:t>
      </w:r>
      <w:r w:rsidR="00C448FC">
        <w:t>decision-</w:t>
      </w:r>
      <w:r w:rsidR="00544EB2">
        <w:t xml:space="preserve">makers with </w:t>
      </w:r>
      <w:r w:rsidR="00F60E88" w:rsidRPr="0014184E">
        <w:t xml:space="preserve">the opportunity </w:t>
      </w:r>
      <w:r w:rsidR="00ED66D9">
        <w:t>to expand</w:t>
      </w:r>
      <w:r w:rsidR="008A416F">
        <w:t>,</w:t>
      </w:r>
      <w:r w:rsidR="00ED66D9">
        <w:t xml:space="preserve"> but not the obligation, as </w:t>
      </w:r>
      <w:r w:rsidR="00F60E88" w:rsidRPr="0014184E">
        <w:t>the option</w:t>
      </w:r>
      <w:r w:rsidR="00544EB2">
        <w:t>s</w:t>
      </w:r>
      <w:r w:rsidR="00F60E88" w:rsidRPr="0014184E">
        <w:t xml:space="preserve"> to suspend or abandon the project </w:t>
      </w:r>
      <w:r w:rsidR="00544EB2">
        <w:t xml:space="preserve">may become available </w:t>
      </w:r>
      <w:r w:rsidR="00544EB2" w:rsidRPr="00544EB2">
        <w:t>if conditions change</w:t>
      </w:r>
      <w:r w:rsidR="00F60E88" w:rsidRPr="0014184E">
        <w:t xml:space="preserve">. If the investment is suspended, the firm can </w:t>
      </w:r>
      <w:r w:rsidR="008A416F">
        <w:t xml:space="preserve">then </w:t>
      </w:r>
      <w:r w:rsidR="00F60E88" w:rsidRPr="0014184E">
        <w:t xml:space="preserve">decide </w:t>
      </w:r>
      <w:r w:rsidR="008A416F">
        <w:t xml:space="preserve">whether to </w:t>
      </w:r>
      <w:r w:rsidR="00F60E88" w:rsidRPr="0014184E">
        <w:t xml:space="preserve">continue </w:t>
      </w:r>
      <w:r w:rsidR="008A416F">
        <w:t xml:space="preserve">with </w:t>
      </w:r>
      <w:r w:rsidR="00F60E88" w:rsidRPr="0014184E">
        <w:t xml:space="preserve">the </w:t>
      </w:r>
      <w:r w:rsidR="005435FF">
        <w:t>project's second stage, such as further investment and suspension and abandonment may come into play again</w:t>
      </w:r>
      <w:r w:rsidR="00F60E88" w:rsidRPr="0014184E">
        <w:t>. It is</w:t>
      </w:r>
      <w:r w:rsidR="003F31CA">
        <w:t>,</w:t>
      </w:r>
      <w:r w:rsidR="00F60E88" w:rsidRPr="0014184E">
        <w:t xml:space="preserve"> therefore</w:t>
      </w:r>
      <w:r w:rsidR="003F31CA">
        <w:t>,</w:t>
      </w:r>
      <w:r w:rsidR="00F60E88" w:rsidRPr="0014184E">
        <w:t xml:space="preserve"> suggested by </w:t>
      </w:r>
      <w:proofErr w:type="spellStart"/>
      <w:r w:rsidR="00F60E88" w:rsidRPr="0014184E">
        <w:t>Pindyck</w:t>
      </w:r>
      <w:proofErr w:type="spellEnd"/>
      <w:r w:rsidR="00F60E88" w:rsidRPr="0014184E">
        <w:t xml:space="preserve"> (1991) that after completion of the first stage, there is an ongoing decision process ahead of the second phase; hence time-to-build solutions provide a rule for optimal sequential investment that accounts for the time required to undertake the investment. </w:t>
      </w:r>
      <w:r w:rsidR="005435FF">
        <w:t>The volatility factors are continuous stochastic processes with independent and stationary increments during the proces</w:t>
      </w:r>
      <w:r w:rsidR="00F60E88" w:rsidRPr="00FD2CA7">
        <w:t>s. Hence managerial decisions involve risk contingency, and th</w:t>
      </w:r>
      <w:r w:rsidR="00F60E88">
        <w:t>ose</w:t>
      </w:r>
      <w:r w:rsidR="00F60E88" w:rsidRPr="00FD2CA7">
        <w:t xml:space="preserve"> contingent factors can lead to </w:t>
      </w:r>
      <w:r w:rsidR="00544EB2">
        <w:t xml:space="preserve">further ignorance </w:t>
      </w:r>
      <w:r w:rsidR="00F60E88" w:rsidRPr="00FD2CA7">
        <w:t>and misinterpretation</w:t>
      </w:r>
      <w:r w:rsidR="008A416F">
        <w:t>s</w:t>
      </w:r>
      <w:r w:rsidR="00F60E88" w:rsidRPr="00FD2CA7">
        <w:t xml:space="preserve"> </w:t>
      </w:r>
      <w:r w:rsidR="008A416F">
        <w:t xml:space="preserve">that </w:t>
      </w:r>
      <w:r w:rsidR="00F60E88" w:rsidRPr="00FD2CA7">
        <w:t>influenc</w:t>
      </w:r>
      <w:r w:rsidR="008A416F">
        <w:t>e</w:t>
      </w:r>
      <w:r w:rsidR="00F60E88" w:rsidRPr="00FD2CA7">
        <w:t xml:space="preserve"> decisions.</w:t>
      </w:r>
    </w:p>
    <w:p w14:paraId="039C3F67" w14:textId="174203D9" w:rsidR="00F60E88" w:rsidRDefault="00F60E88" w:rsidP="00363220">
      <w:pPr>
        <w:pStyle w:val="NormalWeb"/>
        <w:spacing w:before="120" w:beforeAutospacing="0" w:after="0" w:afterAutospacing="0" w:line="480" w:lineRule="auto"/>
        <w:ind w:firstLine="284"/>
        <w:jc w:val="both"/>
      </w:pPr>
      <w:r w:rsidRPr="00FD2CA7">
        <w:t xml:space="preserve"> </w:t>
      </w:r>
      <w:r w:rsidR="00544EB2">
        <w:t>Our approach d</w:t>
      </w:r>
      <w:r w:rsidR="00C448FC">
        <w:t>istinguishes</w:t>
      </w:r>
      <w:r w:rsidRPr="0014184E">
        <w:t xml:space="preserve"> between </w:t>
      </w:r>
      <w:r w:rsidR="00544EB2">
        <w:t xml:space="preserve">two sources of </w:t>
      </w:r>
      <w:r w:rsidRPr="0014184E">
        <w:t>uncertaint</w:t>
      </w:r>
      <w:r w:rsidR="00544EB2">
        <w:t xml:space="preserve">y: </w:t>
      </w:r>
      <w:r w:rsidRPr="0014184E">
        <w:t xml:space="preserve">the value of the completed project (due to uncertainties over the </w:t>
      </w:r>
      <w:r w:rsidR="00544EB2">
        <w:t>path of underlying prices of the output</w:t>
      </w:r>
      <w:r w:rsidRPr="0014184E">
        <w:t xml:space="preserve">) and uncertainty over the cost of completing the project. </w:t>
      </w:r>
      <w:r>
        <w:t>W</w:t>
      </w:r>
      <w:r w:rsidRPr="0014184E">
        <w:t xml:space="preserve">hen the value of resource bundles </w:t>
      </w:r>
      <w:r w:rsidR="00544EB2">
        <w:t>is</w:t>
      </w:r>
      <w:r w:rsidRPr="0014184E">
        <w:t xml:space="preserve"> stochastic, accumulating resources bears the risk that their future value may be at a discount relative to the present, with the consequence that the firm may be unable to fully recover their investment. </w:t>
      </w:r>
      <w:r w:rsidRPr="00FD2CA7">
        <w:t>Further, decision</w:t>
      </w:r>
      <w:r w:rsidR="008A416F">
        <w:t xml:space="preserve"> </w:t>
      </w:r>
      <w:r w:rsidRPr="00FD2CA7">
        <w:t xml:space="preserve">complexity can increase with factors such as causal ambiguity and time-inconsistent behaviour. In the presence of causal ambiguity, </w:t>
      </w:r>
      <w:r w:rsidR="008A416F">
        <w:t xml:space="preserve">decisions may be skewed towards </w:t>
      </w:r>
      <w:r w:rsidRPr="00FD2CA7">
        <w:t xml:space="preserve">past outcomes, </w:t>
      </w:r>
      <w:r w:rsidR="008A416F">
        <w:t>produc</w:t>
      </w:r>
      <w:r w:rsidR="00544EB2">
        <w:t>ing</w:t>
      </w:r>
      <w:r w:rsidR="008A416F">
        <w:t xml:space="preserve"> strong path </w:t>
      </w:r>
      <w:r w:rsidRPr="00FD2CA7">
        <w:t>dependen</w:t>
      </w:r>
      <w:r w:rsidR="008A416F">
        <w:t xml:space="preserve">cy, </w:t>
      </w:r>
      <w:r w:rsidR="00544EB2">
        <w:t xml:space="preserve">in that </w:t>
      </w:r>
      <w:r w:rsidR="008A416F">
        <w:t>the past casts a shadow on the future.</w:t>
      </w:r>
      <w:r w:rsidR="00363220">
        <w:t xml:space="preserve"> </w:t>
      </w:r>
      <w:r>
        <w:t>Options</w:t>
      </w:r>
      <w:r w:rsidRPr="00FD2CA7">
        <w:t xml:space="preserve"> can be interpreted as </w:t>
      </w:r>
      <w:r w:rsidR="00544EB2">
        <w:t xml:space="preserve">conferring a value on </w:t>
      </w:r>
      <w:r w:rsidRPr="00FD2CA7">
        <w:t xml:space="preserve">bundles of resources and </w:t>
      </w:r>
      <w:r w:rsidR="00544EB2">
        <w:t xml:space="preserve">capabilities, where </w:t>
      </w:r>
      <w:r w:rsidR="005435FF">
        <w:t>organisational leaders endlessly manipulate the bundle</w:t>
      </w:r>
      <w:r>
        <w:t>s</w:t>
      </w:r>
      <w:r w:rsidRPr="00FD2CA7">
        <w:t xml:space="preserve"> as </w:t>
      </w:r>
      <w:r w:rsidR="00544EB2">
        <w:t xml:space="preserve">perceptions </w:t>
      </w:r>
      <w:r w:rsidRPr="00FD2CA7">
        <w:t>of the productive opportunities th</w:t>
      </w:r>
      <w:r w:rsidR="00544EB2">
        <w:t xml:space="preserve">at </w:t>
      </w:r>
      <w:r w:rsidRPr="00FD2CA7">
        <w:t>resource</w:t>
      </w:r>
      <w:r w:rsidR="00544EB2">
        <w:t>s</w:t>
      </w:r>
      <w:r w:rsidRPr="00FD2CA7">
        <w:t xml:space="preserve"> make </w:t>
      </w:r>
      <w:r w:rsidR="00C448FC">
        <w:t xml:space="preserve">a </w:t>
      </w:r>
      <w:r w:rsidRPr="00FD2CA7">
        <w:t xml:space="preserve">possible </w:t>
      </w:r>
      <w:r w:rsidR="00544EB2">
        <w:t xml:space="preserve">change </w:t>
      </w:r>
      <w:r w:rsidRPr="00FD2CA7">
        <w:t xml:space="preserve">(Penrose, 1959). </w:t>
      </w:r>
      <w:r w:rsidRPr="00544EB2">
        <w:t xml:space="preserve">Creating option value depends </w:t>
      </w:r>
      <w:r w:rsidR="008A416F" w:rsidRPr="00544EB2">
        <w:t xml:space="preserve">not just </w:t>
      </w:r>
      <w:r w:rsidRPr="00544EB2">
        <w:t xml:space="preserve">on the </w:t>
      </w:r>
      <w:r w:rsidR="00544EB2" w:rsidRPr="00544EB2">
        <w:t xml:space="preserve">underlying </w:t>
      </w:r>
      <w:r w:rsidRPr="00544EB2">
        <w:t xml:space="preserve">activities but on patterns of coherence. </w:t>
      </w:r>
      <w:r w:rsidR="005435FF">
        <w:t>Given the current endemic, time-inconsistent behaviour is illustrated by unexpected events such as the global pandemic crisis that may appear as recursive and stationary patterns</w:t>
      </w:r>
      <w:r w:rsidRPr="003172DC">
        <w:t>.</w:t>
      </w:r>
      <w:r w:rsidRPr="00FD2CA7">
        <w:t xml:space="preserve"> Continually manipulating </w:t>
      </w:r>
      <w:r w:rsidR="008A416F">
        <w:lastRenderedPageBreak/>
        <w:t>the re</w:t>
      </w:r>
      <w:r w:rsidRPr="00FD2CA7">
        <w:t xml:space="preserve">source base is a process of constantly augmenting skills and operating procedures. Every time </w:t>
      </w:r>
      <w:r>
        <w:t>the organi</w:t>
      </w:r>
      <w:r w:rsidR="006F1E41">
        <w:t>s</w:t>
      </w:r>
      <w:r>
        <w:t xml:space="preserve">ation </w:t>
      </w:r>
      <w:r w:rsidRPr="00FD2CA7">
        <w:t>is engaged in adapting, integrating, separating, or expanding the resource base represents a different knowledge structure</w:t>
      </w:r>
      <w:r>
        <w:t xml:space="preserve"> </w:t>
      </w:r>
      <w:r w:rsidRPr="00FD2CA7">
        <w:t xml:space="preserve">(Potts, 2000; </w:t>
      </w:r>
      <w:proofErr w:type="spellStart"/>
      <w:r w:rsidRPr="00FD2CA7">
        <w:t>Loasby</w:t>
      </w:r>
      <w:proofErr w:type="spellEnd"/>
      <w:r w:rsidRPr="00FD2CA7">
        <w:t xml:space="preserve">, 2001). But </w:t>
      </w:r>
      <w:r w:rsidR="00C448FC" w:rsidRPr="00FD2CA7">
        <w:t>decision</w:t>
      </w:r>
      <w:r w:rsidR="00C448FC">
        <w:t>-</w:t>
      </w:r>
      <w:r w:rsidRPr="00FD2CA7">
        <w:t xml:space="preserve">makers are neither able to predict </w:t>
      </w:r>
      <w:r w:rsidR="008A416F">
        <w:t>what</w:t>
      </w:r>
      <w:r w:rsidRPr="00FD2CA7">
        <w:t xml:space="preserve"> the new pattern looks like</w:t>
      </w:r>
      <w:r w:rsidR="008A416F">
        <w:t xml:space="preserve"> exactly,</w:t>
      </w:r>
      <w:r w:rsidRPr="00FD2CA7">
        <w:t xml:space="preserve"> nor where the stationary period starts or terminates, suggesting a non-stationary parameter.</w:t>
      </w:r>
      <w:r>
        <w:t xml:space="preserve"> </w:t>
      </w:r>
    </w:p>
    <w:p w14:paraId="1C390C6A" w14:textId="47211691" w:rsidR="007900F2" w:rsidRPr="006801DB" w:rsidRDefault="007900F2" w:rsidP="009D468A">
      <w:pPr>
        <w:spacing w:before="120" w:line="480" w:lineRule="auto"/>
        <w:ind w:firstLine="284"/>
        <w:jc w:val="both"/>
        <w:rPr>
          <w:bCs/>
          <w:iCs/>
          <w:color w:val="000000" w:themeColor="text1"/>
        </w:rPr>
      </w:pPr>
      <w:r w:rsidRPr="00456CD4">
        <w:rPr>
          <w:bCs/>
        </w:rPr>
        <w:t xml:space="preserve">From a </w:t>
      </w:r>
      <w:r w:rsidR="008A416F">
        <w:rPr>
          <w:bCs/>
        </w:rPr>
        <w:t>ROA p</w:t>
      </w:r>
      <w:r w:rsidRPr="00456CD4">
        <w:rPr>
          <w:bCs/>
        </w:rPr>
        <w:t>erspective</w:t>
      </w:r>
      <w:r w:rsidR="008A416F">
        <w:rPr>
          <w:bCs/>
        </w:rPr>
        <w:t>,</w:t>
      </w:r>
      <w:r w:rsidRPr="00456CD4">
        <w:rPr>
          <w:bCs/>
        </w:rPr>
        <w:t xml:space="preserve"> uncertainty adds to the number of possible actions available to governments in responding to the crisis</w:t>
      </w:r>
      <w:r w:rsidR="008A416F">
        <w:rPr>
          <w:bCs/>
        </w:rPr>
        <w:t>, thus increasing the</w:t>
      </w:r>
      <w:r w:rsidR="00544EB2">
        <w:rPr>
          <w:bCs/>
        </w:rPr>
        <w:t>ir option</w:t>
      </w:r>
      <w:r w:rsidR="008A416F">
        <w:rPr>
          <w:bCs/>
        </w:rPr>
        <w:t xml:space="preserve"> value</w:t>
      </w:r>
      <w:r w:rsidR="00544EB2">
        <w:rPr>
          <w:bCs/>
        </w:rPr>
        <w:t>s</w:t>
      </w:r>
      <w:r w:rsidRPr="00456CD4">
        <w:rPr>
          <w:bCs/>
        </w:rPr>
        <w:t xml:space="preserve">. In terms of the </w:t>
      </w:r>
      <w:r w:rsidR="0066106F">
        <w:rPr>
          <w:bCs/>
        </w:rPr>
        <w:t>COVID</w:t>
      </w:r>
      <w:r w:rsidRPr="00456CD4">
        <w:rPr>
          <w:bCs/>
        </w:rPr>
        <w:t xml:space="preserve"> crisis, rather than focus</w:t>
      </w:r>
      <w:r w:rsidR="00C448FC">
        <w:rPr>
          <w:bCs/>
        </w:rPr>
        <w:t>ing</w:t>
      </w:r>
      <w:r w:rsidRPr="00456CD4">
        <w:rPr>
          <w:bCs/>
        </w:rPr>
        <w:t xml:space="preserve"> on economic value, governments might seek to minimise the impact of the disease on individuals and specific groups in society, importantly the business sector, and society more broadly. This might require policy initiatives that reduce infections through carefully targeted investments in healthcare, better and more effective hospitalisation, investing in vaccination programs and so on that minimise the impact on the more vulnerable, minimise economic losses for businesses affected by the </w:t>
      </w:r>
      <w:r w:rsidR="005209A6">
        <w:rPr>
          <w:bCs/>
        </w:rPr>
        <w:t>P</w:t>
      </w:r>
      <w:r w:rsidR="005209A6" w:rsidRPr="00456CD4">
        <w:rPr>
          <w:bCs/>
        </w:rPr>
        <w:t xml:space="preserve">andemic </w:t>
      </w:r>
      <w:r w:rsidRPr="00456CD4">
        <w:rPr>
          <w:bCs/>
        </w:rPr>
        <w:t xml:space="preserve">and householders most affected by the economic downturn or the </w:t>
      </w:r>
      <w:r w:rsidR="005209A6">
        <w:rPr>
          <w:bCs/>
        </w:rPr>
        <w:t>P</w:t>
      </w:r>
      <w:r w:rsidR="005209A6" w:rsidRPr="00456CD4">
        <w:rPr>
          <w:bCs/>
        </w:rPr>
        <w:t xml:space="preserve">andemic </w:t>
      </w:r>
      <w:r w:rsidRPr="00456CD4">
        <w:rPr>
          <w:bCs/>
        </w:rPr>
        <w:t>more directly</w:t>
      </w:r>
      <w:r w:rsidR="008A416F">
        <w:rPr>
          <w:bCs/>
        </w:rPr>
        <w:t>, such as the loss of a wage earner</w:t>
      </w:r>
      <w:r w:rsidRPr="00456CD4">
        <w:rPr>
          <w:bCs/>
        </w:rPr>
        <w:t xml:space="preserve">. </w:t>
      </w:r>
      <w:r w:rsidR="00C448FC">
        <w:rPr>
          <w:bCs/>
        </w:rPr>
        <w:t>G</w:t>
      </w:r>
      <w:r w:rsidRPr="00456CD4">
        <w:rPr>
          <w:bCs/>
        </w:rPr>
        <w:t xml:space="preserve">overnment policy initiatives directly affect the corporate sector </w:t>
      </w:r>
      <w:r w:rsidR="00730066">
        <w:rPr>
          <w:bCs/>
        </w:rPr>
        <w:t>because of</w:t>
      </w:r>
      <w:r w:rsidR="00544EB2">
        <w:rPr>
          <w:bCs/>
        </w:rPr>
        <w:t xml:space="preserve"> </w:t>
      </w:r>
      <w:r w:rsidR="00730066">
        <w:rPr>
          <w:bCs/>
        </w:rPr>
        <w:t xml:space="preserve">the </w:t>
      </w:r>
      <w:r w:rsidRPr="00456CD4">
        <w:rPr>
          <w:bCs/>
        </w:rPr>
        <w:t xml:space="preserve">change </w:t>
      </w:r>
      <w:r w:rsidR="00730066">
        <w:rPr>
          <w:bCs/>
        </w:rPr>
        <w:t xml:space="preserve">in </w:t>
      </w:r>
      <w:r w:rsidRPr="00456CD4">
        <w:rPr>
          <w:bCs/>
        </w:rPr>
        <w:t xml:space="preserve">the economic value of corporate real options.  </w:t>
      </w:r>
    </w:p>
    <w:p w14:paraId="1FE432BE" w14:textId="2F206C32" w:rsidR="00FA675E" w:rsidRPr="003172DC" w:rsidRDefault="007900F2" w:rsidP="009D468A">
      <w:pPr>
        <w:spacing w:before="120" w:line="480" w:lineRule="auto"/>
        <w:ind w:firstLine="284"/>
        <w:jc w:val="both"/>
        <w:rPr>
          <w:bCs/>
          <w:iCs/>
          <w:color w:val="000000" w:themeColor="text1"/>
        </w:rPr>
      </w:pPr>
      <w:r w:rsidRPr="00456CD4">
        <w:rPr>
          <w:bCs/>
          <w:iCs/>
          <w:color w:val="000000" w:themeColor="text1"/>
        </w:rPr>
        <w:t>On this account, to deal with uncertainty is also to deal with ambiguity by implying a natural consequence of knowledge acquisition in open-ended systems, where connections between tentative forms of knowledge are options on the connections between further pieces of knowledge (</w:t>
      </w:r>
      <w:proofErr w:type="spellStart"/>
      <w:r w:rsidRPr="00456CD4">
        <w:rPr>
          <w:bCs/>
          <w:iCs/>
          <w:color w:val="000000" w:themeColor="text1"/>
        </w:rPr>
        <w:t>Loasby</w:t>
      </w:r>
      <w:proofErr w:type="spellEnd"/>
      <w:r w:rsidRPr="00456CD4">
        <w:rPr>
          <w:bCs/>
          <w:iCs/>
          <w:color w:val="000000" w:themeColor="text1"/>
        </w:rPr>
        <w:t>, 2002). In an organisational setting, this might involve an assessment of opportunities (</w:t>
      </w:r>
      <w:r w:rsidR="008A416F" w:rsidRPr="00456CD4">
        <w:rPr>
          <w:bCs/>
          <w:iCs/>
          <w:color w:val="000000" w:themeColor="text1"/>
        </w:rPr>
        <w:t>i.e.</w:t>
      </w:r>
      <w:r w:rsidR="008A416F">
        <w:rPr>
          <w:bCs/>
          <w:iCs/>
          <w:color w:val="000000" w:themeColor="text1"/>
        </w:rPr>
        <w:t>,</w:t>
      </w:r>
      <w:r w:rsidRPr="00456CD4">
        <w:rPr>
          <w:bCs/>
          <w:iCs/>
          <w:color w:val="000000" w:themeColor="text1"/>
        </w:rPr>
        <w:t xml:space="preserve"> tentative new knowledge, technology), alternatives, or possibilities. </w:t>
      </w:r>
      <w:r w:rsidR="005107D9" w:rsidRPr="00456CD4">
        <w:rPr>
          <w:bCs/>
        </w:rPr>
        <w:t>This would suggest that governmental uncertainties change how the traditional option heuristics are to be interpreted, which has implications not only for governments but also for corporate sector option modelling</w:t>
      </w:r>
      <w:r w:rsidR="003172DC">
        <w:rPr>
          <w:bCs/>
        </w:rPr>
        <w:t xml:space="preserve">, </w:t>
      </w:r>
      <w:r w:rsidR="00C448FC">
        <w:rPr>
          <w:bCs/>
        </w:rPr>
        <w:t>concerning</w:t>
      </w:r>
      <w:r w:rsidR="005107D9" w:rsidRPr="00456CD4">
        <w:rPr>
          <w:bCs/>
          <w:iCs/>
          <w:color w:val="000000" w:themeColor="text1"/>
        </w:rPr>
        <w:t xml:space="preserve"> the circumstances of time and place in a particular setting. </w:t>
      </w:r>
      <w:r w:rsidR="003172DC">
        <w:rPr>
          <w:bCs/>
          <w:iCs/>
          <w:color w:val="000000" w:themeColor="text1"/>
        </w:rPr>
        <w:t xml:space="preserve">This requires </w:t>
      </w:r>
      <w:r w:rsidR="00FA675E" w:rsidRPr="00FD2CA7">
        <w:t xml:space="preserve">the </w:t>
      </w:r>
      <w:r w:rsidR="00FA675E">
        <w:t xml:space="preserve">dynamic </w:t>
      </w:r>
      <w:r w:rsidR="00FA675E" w:rsidRPr="00FD2CA7">
        <w:t xml:space="preserve">capabilities </w:t>
      </w:r>
      <w:r w:rsidR="003172DC">
        <w:t xml:space="preserve">that </w:t>
      </w:r>
      <w:r w:rsidR="00FA675E">
        <w:t xml:space="preserve">are </w:t>
      </w:r>
      <w:r w:rsidR="00FA675E" w:rsidRPr="00FD2CA7">
        <w:t xml:space="preserve">over other types of capabilities, and such capabilities </w:t>
      </w:r>
      <w:r w:rsidR="00FA675E" w:rsidRPr="00FD2CA7">
        <w:lastRenderedPageBreak/>
        <w:t xml:space="preserve">in dealing with the dynamic environment concerns both speed and choice </w:t>
      </w:r>
      <w:r w:rsidR="003172DC">
        <w:t>need to be</w:t>
      </w:r>
      <w:r w:rsidR="00FA675E" w:rsidRPr="00FD2CA7">
        <w:t xml:space="preserve"> strategically sense</w:t>
      </w:r>
      <w:r w:rsidR="003172DC">
        <w:t xml:space="preserve"> making</w:t>
      </w:r>
      <w:r w:rsidR="00FA675E" w:rsidRPr="00FD2CA7">
        <w:t xml:space="preserve">. </w:t>
      </w:r>
      <w:r w:rsidR="00FA675E">
        <w:t xml:space="preserve">We </w:t>
      </w:r>
      <w:r w:rsidR="004323A0">
        <w:t xml:space="preserve">therefore in </w:t>
      </w:r>
      <w:r w:rsidR="00851485">
        <w:t>next</w:t>
      </w:r>
      <w:r w:rsidR="00FA675E">
        <w:t xml:space="preserve"> br</w:t>
      </w:r>
      <w:r w:rsidR="00317662">
        <w:t>ought</w:t>
      </w:r>
      <w:r w:rsidR="00FA675E">
        <w:t xml:space="preserve"> up the time-to-build real options.</w:t>
      </w:r>
    </w:p>
    <w:p w14:paraId="107B62F1" w14:textId="4C358CC6" w:rsidR="00FA675E" w:rsidRPr="007644FF" w:rsidRDefault="005365E4" w:rsidP="009D468A">
      <w:pPr>
        <w:pStyle w:val="NormalWeb"/>
        <w:spacing w:before="240" w:beforeAutospacing="0" w:after="0" w:afterAutospacing="0" w:line="480" w:lineRule="auto"/>
        <w:rPr>
          <w:bCs/>
          <w:i/>
          <w:iCs/>
        </w:rPr>
      </w:pPr>
      <w:r w:rsidRPr="007644FF">
        <w:rPr>
          <w:bCs/>
          <w:i/>
          <w:iCs/>
        </w:rPr>
        <w:t>Contribution</w:t>
      </w:r>
      <w:r w:rsidR="006F47C7" w:rsidRPr="007644FF">
        <w:rPr>
          <w:bCs/>
          <w:i/>
          <w:iCs/>
        </w:rPr>
        <w:t>s</w:t>
      </w:r>
      <w:r w:rsidRPr="007644FF">
        <w:rPr>
          <w:bCs/>
          <w:i/>
          <w:iCs/>
        </w:rPr>
        <w:t xml:space="preserve"> to </w:t>
      </w:r>
      <w:r w:rsidR="00CB281A" w:rsidRPr="007644FF">
        <w:rPr>
          <w:bCs/>
          <w:i/>
          <w:iCs/>
        </w:rPr>
        <w:t>the t</w:t>
      </w:r>
      <w:r w:rsidR="00FA675E" w:rsidRPr="007644FF">
        <w:rPr>
          <w:bCs/>
          <w:i/>
          <w:iCs/>
        </w:rPr>
        <w:t>ime-to-build options</w:t>
      </w:r>
      <w:r w:rsidR="006A7499" w:rsidRPr="007644FF">
        <w:rPr>
          <w:bCs/>
          <w:i/>
          <w:iCs/>
        </w:rPr>
        <w:t xml:space="preserve"> </w:t>
      </w:r>
    </w:p>
    <w:p w14:paraId="2091472F" w14:textId="3F11ABD9" w:rsidR="00A0397E" w:rsidRDefault="00D02EF1" w:rsidP="00D8788D">
      <w:pPr>
        <w:spacing w:before="120" w:after="120" w:line="480" w:lineRule="auto"/>
        <w:jc w:val="both"/>
        <w:rPr>
          <w:bCs/>
          <w:iCs/>
          <w:color w:val="000000" w:themeColor="text1"/>
        </w:rPr>
      </w:pPr>
      <w:r w:rsidRPr="00FD2CA7">
        <w:t>We emphas</w:t>
      </w:r>
      <w:r w:rsidR="00851485">
        <w:t>ised</w:t>
      </w:r>
      <w:r w:rsidRPr="00FD2CA7">
        <w:t xml:space="preserve"> </w:t>
      </w:r>
      <w:r w:rsidR="00363220">
        <w:t>that</w:t>
      </w:r>
      <w:r>
        <w:t xml:space="preserve"> i</w:t>
      </w:r>
      <w:r w:rsidRPr="00FD2CA7">
        <w:t>n such</w:t>
      </w:r>
      <w:r>
        <w:t xml:space="preserve"> pandemic</w:t>
      </w:r>
      <w:r w:rsidRPr="00FD2CA7">
        <w:t xml:space="preserve"> circumstance</w:t>
      </w:r>
      <w:r w:rsidR="008A416F">
        <w:t>s</w:t>
      </w:r>
      <w:r w:rsidRPr="00FD2CA7">
        <w:t xml:space="preserve">, the means in solving the problems was </w:t>
      </w:r>
      <w:r>
        <w:t>co-alignment of</w:t>
      </w:r>
      <w:r w:rsidRPr="00FD2CA7">
        <w:t xml:space="preserve"> strategi</w:t>
      </w:r>
      <w:r>
        <w:t xml:space="preserve">es with </w:t>
      </w:r>
      <w:r w:rsidRPr="00FD2CA7">
        <w:t>environment</w:t>
      </w:r>
      <w:r w:rsidR="00C448FC">
        <w:t>al</w:t>
      </w:r>
      <w:r>
        <w:t xml:space="preserve"> change</w:t>
      </w:r>
      <w:r w:rsidR="00363220">
        <w:t>.</w:t>
      </w:r>
      <w:r w:rsidR="008A416F">
        <w:t xml:space="preserve"> </w:t>
      </w:r>
      <w:r w:rsidR="00363220">
        <w:t>W</w:t>
      </w:r>
      <w:r>
        <w:t>here u</w:t>
      </w:r>
      <w:r w:rsidRPr="00EC1FAC">
        <w:t>ncertainty in DP can occur at two levels: corporate and government. Then organi</w:t>
      </w:r>
      <w:r w:rsidR="006F1E41">
        <w:t>s</w:t>
      </w:r>
      <w:r w:rsidRPr="00EC1FAC">
        <w:t xml:space="preserve">ations embark on </w:t>
      </w:r>
      <w:r w:rsidR="00C448FC">
        <w:t xml:space="preserve">the </w:t>
      </w:r>
      <w:r w:rsidRPr="00EC1FAC">
        <w:t xml:space="preserve">search for various reasons and </w:t>
      </w:r>
      <w:r w:rsidR="00C448FC" w:rsidRPr="00EC1FAC">
        <w:t>us</w:t>
      </w:r>
      <w:r w:rsidR="00C448FC">
        <w:t>e</w:t>
      </w:r>
      <w:r w:rsidR="00C448FC" w:rsidRPr="00EC1FAC">
        <w:t xml:space="preserve"> </w:t>
      </w:r>
      <w:r w:rsidRPr="00EC1FAC">
        <w:t xml:space="preserve">different procedures for resolving the tension in responding to exogenous forces in the environment. </w:t>
      </w:r>
      <w:r w:rsidR="00DD201A">
        <w:t>P</w:t>
      </w:r>
      <w:r w:rsidRPr="00FD2CA7">
        <w:t xml:space="preserve">reserving </w:t>
      </w:r>
      <w:r w:rsidR="00DD201A">
        <w:t xml:space="preserve">or increasing </w:t>
      </w:r>
      <w:r w:rsidRPr="00FD2CA7">
        <w:t xml:space="preserve">capacity </w:t>
      </w:r>
      <w:r w:rsidR="00DD201A">
        <w:t>require</w:t>
      </w:r>
      <w:r w:rsidR="00C448FC">
        <w:t>s</w:t>
      </w:r>
      <w:r w:rsidR="00DD201A">
        <w:t xml:space="preserve"> </w:t>
      </w:r>
      <w:r>
        <w:t>organi</w:t>
      </w:r>
      <w:r w:rsidR="006F1E41">
        <w:t>s</w:t>
      </w:r>
      <w:r>
        <w:t>ations</w:t>
      </w:r>
      <w:r w:rsidRPr="00FD2CA7">
        <w:t xml:space="preserve"> </w:t>
      </w:r>
      <w:r w:rsidR="00DD201A">
        <w:t xml:space="preserve">to </w:t>
      </w:r>
      <w:r w:rsidRPr="00FD2CA7">
        <w:t xml:space="preserve">actively seek growth opportunities, either through finding new ways of exploiting the current stock of resources or </w:t>
      </w:r>
      <w:r w:rsidR="00E63893">
        <w:t>from</w:t>
      </w:r>
      <w:r w:rsidRPr="00FD2CA7">
        <w:t xml:space="preserve"> discovering new complementarities </w:t>
      </w:r>
      <w:r>
        <w:t xml:space="preserve">of resource </w:t>
      </w:r>
      <w:r w:rsidRPr="00FD2CA7">
        <w:t xml:space="preserve">bundles. This is </w:t>
      </w:r>
      <w:r w:rsidR="008A416F">
        <w:t xml:space="preserve">so </w:t>
      </w:r>
      <w:r w:rsidRPr="00FD2CA7">
        <w:t xml:space="preserve">because knowledge of the behaviour of the system is never complete, </w:t>
      </w:r>
      <w:r w:rsidR="008A416F">
        <w:t xml:space="preserve">and </w:t>
      </w:r>
      <w:r w:rsidR="00E63893">
        <w:t xml:space="preserve">not </w:t>
      </w:r>
      <w:r w:rsidR="008A416F">
        <w:t>incapable of being made complete</w:t>
      </w:r>
      <w:r w:rsidR="00E63893">
        <w:t xml:space="preserve"> and thus u</w:t>
      </w:r>
      <w:r w:rsidRPr="00FD2CA7">
        <w:t>ncertainty is never fully resolved</w:t>
      </w:r>
      <w:r w:rsidR="00E63893">
        <w:t>. O</w:t>
      </w:r>
      <w:r w:rsidR="00DD201A">
        <w:t xml:space="preserve">ver time </w:t>
      </w:r>
      <w:r w:rsidRPr="00FD2CA7">
        <w:t xml:space="preserve">a succession of configurations </w:t>
      </w:r>
      <w:r w:rsidR="00515F52" w:rsidRPr="00FD2CA7">
        <w:t>unfold</w:t>
      </w:r>
      <w:r w:rsidR="00515F52">
        <w:t>s</w:t>
      </w:r>
      <w:r w:rsidRPr="00FD2CA7">
        <w:t xml:space="preserve"> as knowledge about </w:t>
      </w:r>
      <w:r w:rsidR="00DD201A">
        <w:t>a</w:t>
      </w:r>
      <w:r w:rsidRPr="00FD2CA7">
        <w:t>ctivities and their interactions accumulate. Reconfiguring resources is concerned with making new connections and each configuration will be influenced by the starting configuration</w:t>
      </w:r>
      <w:r w:rsidR="008443FA">
        <w:t xml:space="preserve"> (</w:t>
      </w:r>
      <w:proofErr w:type="spellStart"/>
      <w:r w:rsidR="008443FA">
        <w:t>Loasby</w:t>
      </w:r>
      <w:proofErr w:type="spellEnd"/>
      <w:r w:rsidR="008443FA">
        <w:t>, 2001)</w:t>
      </w:r>
      <w:r w:rsidRPr="00FD2CA7">
        <w:t xml:space="preserve">. </w:t>
      </w:r>
      <w:r w:rsidR="008443FA">
        <w:t>O</w:t>
      </w:r>
      <w:r w:rsidR="00DD201A">
        <w:t xml:space="preserve">rganisations </w:t>
      </w:r>
      <w:r w:rsidR="008443FA">
        <w:t xml:space="preserve">can be envisioned as </w:t>
      </w:r>
      <w:r w:rsidR="00DD201A">
        <w:t>mo</w:t>
      </w:r>
      <w:r w:rsidR="00DD201A" w:rsidRPr="00DD201A">
        <w:t>v</w:t>
      </w:r>
      <w:r w:rsidR="00866BEE">
        <w:t>ing</w:t>
      </w:r>
      <w:r w:rsidR="00DD201A">
        <w:t xml:space="preserve"> </w:t>
      </w:r>
      <w:r w:rsidR="00DD201A" w:rsidRPr="00DD201A">
        <w:t xml:space="preserve">through state space </w:t>
      </w:r>
      <w:r w:rsidR="00DD201A">
        <w:t>exercising options</w:t>
      </w:r>
      <w:r w:rsidR="008443FA">
        <w:t xml:space="preserve"> by </w:t>
      </w:r>
      <w:r w:rsidR="00DD201A" w:rsidRPr="00DD201A">
        <w:t>rearranging connections</w:t>
      </w:r>
      <w:r w:rsidR="00DD201A">
        <w:t xml:space="preserve"> </w:t>
      </w:r>
      <w:r w:rsidR="00C71599">
        <w:t xml:space="preserve">and </w:t>
      </w:r>
      <w:r w:rsidR="00DD201A" w:rsidRPr="00DD201A">
        <w:t xml:space="preserve">deepening </w:t>
      </w:r>
      <w:r w:rsidR="00DD201A">
        <w:t>c</w:t>
      </w:r>
      <w:r w:rsidR="00DD201A" w:rsidRPr="00DD201A">
        <w:t xml:space="preserve">ommitment </w:t>
      </w:r>
      <w:r w:rsidR="00866BEE">
        <w:t xml:space="preserve">to </w:t>
      </w:r>
      <w:r w:rsidR="002062F9">
        <w:t>successive configurations of r</w:t>
      </w:r>
      <w:r w:rsidR="00DD201A" w:rsidRPr="00DD201A">
        <w:t>esource</w:t>
      </w:r>
      <w:r w:rsidR="002062F9">
        <w:t>s</w:t>
      </w:r>
      <w:r w:rsidR="00DD201A" w:rsidRPr="00DD201A">
        <w:t xml:space="preserve"> and capabilit</w:t>
      </w:r>
      <w:r w:rsidR="002062F9">
        <w:t>ies</w:t>
      </w:r>
      <w:r w:rsidR="00C45AFA">
        <w:t xml:space="preserve">. </w:t>
      </w:r>
      <w:r w:rsidR="00D6394E">
        <w:rPr>
          <w:color w:val="000000"/>
        </w:rPr>
        <w:t xml:space="preserve">This </w:t>
      </w:r>
      <w:r w:rsidR="00C45AFA">
        <w:rPr>
          <w:color w:val="000000"/>
        </w:rPr>
        <w:t xml:space="preserve">implies </w:t>
      </w:r>
      <w:r w:rsidR="00C45AFA">
        <w:rPr>
          <w:bCs/>
          <w:iCs/>
          <w:color w:val="000000" w:themeColor="text1"/>
        </w:rPr>
        <w:t xml:space="preserve">both </w:t>
      </w:r>
      <w:r w:rsidR="00D6394E">
        <w:rPr>
          <w:bCs/>
          <w:iCs/>
          <w:color w:val="000000" w:themeColor="text1"/>
        </w:rPr>
        <w:t>adaptation and transformation</w:t>
      </w:r>
      <w:r w:rsidR="00C45AFA">
        <w:rPr>
          <w:bCs/>
          <w:iCs/>
          <w:color w:val="000000" w:themeColor="text1"/>
        </w:rPr>
        <w:t>,</w:t>
      </w:r>
      <w:r w:rsidR="00D6394E">
        <w:rPr>
          <w:bCs/>
          <w:iCs/>
          <w:color w:val="000000" w:themeColor="text1"/>
        </w:rPr>
        <w:t xml:space="preserve"> to </w:t>
      </w:r>
      <w:r w:rsidR="00D6394E" w:rsidRPr="003466FD">
        <w:rPr>
          <w:bCs/>
          <w:iCs/>
          <w:color w:val="000000" w:themeColor="text1"/>
        </w:rPr>
        <w:t>extend</w:t>
      </w:r>
      <w:r w:rsidR="00D6394E">
        <w:rPr>
          <w:bCs/>
          <w:iCs/>
          <w:color w:val="000000" w:themeColor="text1"/>
        </w:rPr>
        <w:t xml:space="preserve"> </w:t>
      </w:r>
      <w:r w:rsidR="00D6394E" w:rsidRPr="003466FD">
        <w:rPr>
          <w:bCs/>
          <w:iCs/>
          <w:color w:val="000000" w:themeColor="text1"/>
        </w:rPr>
        <w:t>real option</w:t>
      </w:r>
      <w:r w:rsidR="00C448FC">
        <w:rPr>
          <w:bCs/>
          <w:iCs/>
          <w:color w:val="000000" w:themeColor="text1"/>
        </w:rPr>
        <w:t>s</w:t>
      </w:r>
      <w:r w:rsidR="00D6394E" w:rsidRPr="003466FD">
        <w:rPr>
          <w:bCs/>
          <w:iCs/>
          <w:color w:val="000000" w:themeColor="text1"/>
        </w:rPr>
        <w:t xml:space="preserve"> via search, information</w:t>
      </w:r>
      <w:r w:rsidR="00544EB2">
        <w:rPr>
          <w:bCs/>
          <w:iCs/>
          <w:color w:val="000000" w:themeColor="text1"/>
        </w:rPr>
        <w:t xml:space="preserve"> gathering</w:t>
      </w:r>
      <w:r w:rsidR="00D6394E" w:rsidRPr="003466FD">
        <w:rPr>
          <w:bCs/>
          <w:iCs/>
          <w:color w:val="000000" w:themeColor="text1"/>
        </w:rPr>
        <w:t>, and acquiring needed</w:t>
      </w:r>
      <w:r w:rsidR="00D6394E">
        <w:rPr>
          <w:bCs/>
          <w:iCs/>
          <w:color w:val="000000" w:themeColor="text1"/>
        </w:rPr>
        <w:t xml:space="preserve"> </w:t>
      </w:r>
      <w:r w:rsidR="00D6394E" w:rsidRPr="003466FD">
        <w:rPr>
          <w:bCs/>
          <w:iCs/>
          <w:color w:val="000000" w:themeColor="text1"/>
        </w:rPr>
        <w:t>resources at a cost (</w:t>
      </w:r>
      <w:r w:rsidR="00D6394E">
        <w:rPr>
          <w:bCs/>
          <w:iCs/>
          <w:color w:val="000000" w:themeColor="text1"/>
        </w:rPr>
        <w:t>i</w:t>
      </w:r>
      <w:r w:rsidR="00544EB2">
        <w:rPr>
          <w:bCs/>
          <w:iCs/>
          <w:color w:val="000000" w:themeColor="text1"/>
        </w:rPr>
        <w:t>.</w:t>
      </w:r>
      <w:r w:rsidR="00D6394E">
        <w:rPr>
          <w:bCs/>
          <w:iCs/>
          <w:color w:val="000000" w:themeColor="text1"/>
        </w:rPr>
        <w:t>e.</w:t>
      </w:r>
      <w:r w:rsidR="00544EB2">
        <w:rPr>
          <w:bCs/>
          <w:iCs/>
          <w:color w:val="000000" w:themeColor="text1"/>
        </w:rPr>
        <w:t>,</w:t>
      </w:r>
      <w:r w:rsidR="00D6394E">
        <w:rPr>
          <w:bCs/>
          <w:iCs/>
          <w:color w:val="000000" w:themeColor="text1"/>
        </w:rPr>
        <w:t xml:space="preserve"> </w:t>
      </w:r>
      <w:r w:rsidR="00C71599">
        <w:rPr>
          <w:bCs/>
          <w:iCs/>
          <w:color w:val="000000" w:themeColor="text1"/>
        </w:rPr>
        <w:t xml:space="preserve">explorative research on </w:t>
      </w:r>
      <w:r w:rsidR="00D6394E">
        <w:rPr>
          <w:bCs/>
          <w:color w:val="000000" w:themeColor="text1"/>
        </w:rPr>
        <w:t>vaccine</w:t>
      </w:r>
      <w:r w:rsidR="00C71599">
        <w:rPr>
          <w:bCs/>
          <w:color w:val="000000" w:themeColor="text1"/>
        </w:rPr>
        <w:t xml:space="preserve">s and their </w:t>
      </w:r>
      <w:r w:rsidR="00D6394E" w:rsidRPr="004F3510">
        <w:rPr>
          <w:bCs/>
          <w:color w:val="000000" w:themeColor="text1"/>
        </w:rPr>
        <w:t>exploitation</w:t>
      </w:r>
      <w:r w:rsidR="00D6394E">
        <w:rPr>
          <w:bCs/>
          <w:color w:val="000000" w:themeColor="text1"/>
        </w:rPr>
        <w:t xml:space="preserve"> </w:t>
      </w:r>
      <w:r w:rsidR="00544EB2">
        <w:rPr>
          <w:bCs/>
          <w:color w:val="000000" w:themeColor="text1"/>
        </w:rPr>
        <w:t xml:space="preserve">through production and vaccination </w:t>
      </w:r>
      <w:r w:rsidR="00D6394E">
        <w:rPr>
          <w:bCs/>
          <w:color w:val="000000" w:themeColor="text1"/>
        </w:rPr>
        <w:t>programs</w:t>
      </w:r>
      <w:r w:rsidR="00D6394E" w:rsidRPr="003466FD">
        <w:rPr>
          <w:bCs/>
          <w:iCs/>
          <w:color w:val="000000" w:themeColor="text1"/>
        </w:rPr>
        <w:t>)</w:t>
      </w:r>
      <w:r w:rsidR="00D6394E">
        <w:rPr>
          <w:bCs/>
          <w:iCs/>
          <w:color w:val="000000" w:themeColor="text1"/>
        </w:rPr>
        <w:t>.</w:t>
      </w:r>
      <w:r w:rsidR="00D6394E" w:rsidRPr="003466FD">
        <w:rPr>
          <w:bCs/>
          <w:iCs/>
          <w:color w:val="000000" w:themeColor="text1"/>
        </w:rPr>
        <w:t xml:space="preserve"> </w:t>
      </w:r>
    </w:p>
    <w:p w14:paraId="111F1474" w14:textId="0DC84F6B" w:rsidR="009612B5" w:rsidRDefault="00A0397E" w:rsidP="009D468A">
      <w:pPr>
        <w:spacing w:before="120" w:after="120" w:line="480" w:lineRule="auto"/>
        <w:ind w:firstLine="284"/>
        <w:jc w:val="both"/>
      </w:pPr>
      <w:r w:rsidRPr="00FD2CA7">
        <w:t xml:space="preserve">We predict that </w:t>
      </w:r>
      <w:r w:rsidR="00363220">
        <w:t>ROA to</w:t>
      </w:r>
      <w:r w:rsidR="00363220" w:rsidRPr="00FD2CA7">
        <w:t xml:space="preserve"> </w:t>
      </w:r>
      <w:r w:rsidRPr="00FD2CA7">
        <w:t>response</w:t>
      </w:r>
      <w:r w:rsidR="00363220">
        <w:t>s</w:t>
      </w:r>
      <w:r w:rsidRPr="00FD2CA7">
        <w:t xml:space="preserve"> can be both time-based advantage and strategic choice </w:t>
      </w:r>
      <w:r w:rsidR="00C448FC" w:rsidRPr="00FD2CA7">
        <w:t>sense</w:t>
      </w:r>
      <w:r w:rsidR="00C448FC">
        <w:t>-</w:t>
      </w:r>
      <w:proofErr w:type="spellStart"/>
      <w:r w:rsidRPr="00FD2CA7">
        <w:t>makin</w:t>
      </w:r>
      <w:proofErr w:type="spellEnd"/>
      <w:r w:rsidR="00363220">
        <w:t>.</w:t>
      </w:r>
      <w:r w:rsidRPr="00FD2CA7">
        <w:t xml:space="preserve"> </w:t>
      </w:r>
      <w:r w:rsidR="00363220">
        <w:t>O</w:t>
      </w:r>
      <w:r w:rsidRPr="00FD2CA7">
        <w:t xml:space="preserve">ur proposal of dynamic coherence hence addresses the concerns of time-based advantage, turning into such finite advantage sustainable through organisational coherence. </w:t>
      </w:r>
      <w:r>
        <w:t>T</w:t>
      </w:r>
      <w:r w:rsidRPr="00FD2CA7">
        <w:t>o do so, compound options, may make the best sense in creating further</w:t>
      </w:r>
      <w:r>
        <w:t xml:space="preserve"> </w:t>
      </w:r>
      <w:r w:rsidRPr="00FD2CA7">
        <w:t>opportunities for growth</w:t>
      </w:r>
      <w:r>
        <w:t xml:space="preserve"> </w:t>
      </w:r>
      <w:r>
        <w:lastRenderedPageBreak/>
        <w:t>th</w:t>
      </w:r>
      <w:r w:rsidR="00C448FC">
        <w:t>r</w:t>
      </w:r>
      <w:r>
        <w:t>ough this remains the most challenging</w:t>
      </w:r>
      <w:r w:rsidRPr="00FD2CA7">
        <w:t xml:space="preserve">. </w:t>
      </w:r>
      <w:r w:rsidR="005C17A1">
        <w:t>Economic s</w:t>
      </w:r>
      <w:r w:rsidR="00D6394E" w:rsidRPr="00FD2CA7">
        <w:t>ustainability is</w:t>
      </w:r>
      <w:r w:rsidR="00974A92">
        <w:t>,</w:t>
      </w:r>
      <w:r w:rsidR="00D6394E" w:rsidRPr="00FD2CA7">
        <w:t xml:space="preserve"> therefore</w:t>
      </w:r>
      <w:r w:rsidR="00974A92">
        <w:t>,</w:t>
      </w:r>
      <w:r w:rsidR="00D6394E" w:rsidRPr="00FD2CA7">
        <w:t xml:space="preserve"> conditioned by the knowledge and the capabilities embedded in the intricacies and complexity of the cross-sectional linkages (Rivkin, 2000)</w:t>
      </w:r>
      <w:r w:rsidR="00DC60FD">
        <w:t>. They are what Penrose (1959, p.</w:t>
      </w:r>
      <w:r w:rsidR="00E80355">
        <w:t xml:space="preserve"> </w:t>
      </w:r>
      <w:r w:rsidR="00DC60FD">
        <w:t xml:space="preserve">31) describes as the </w:t>
      </w:r>
      <w:r w:rsidR="0069361C">
        <w:t>s</w:t>
      </w:r>
      <w:r w:rsidR="005C17A1" w:rsidRPr="005C17A1">
        <w:t>ubjectiv</w:t>
      </w:r>
      <w:r w:rsidR="00E80355">
        <w:t>e</w:t>
      </w:r>
      <w:r w:rsidR="005C17A1">
        <w:t xml:space="preserve"> </w:t>
      </w:r>
      <w:r w:rsidR="005C17A1" w:rsidRPr="005C17A1">
        <w:t xml:space="preserve">productive opportunities, </w:t>
      </w:r>
      <w:r w:rsidR="00E80355">
        <w:t>“</w:t>
      </w:r>
      <w:r w:rsidR="00451B02">
        <w:t xml:space="preserve">all of the productive </w:t>
      </w:r>
      <w:r w:rsidR="005C17A1" w:rsidRPr="005C17A1">
        <w:t xml:space="preserve">possibilities that </w:t>
      </w:r>
      <w:r w:rsidR="00451B02">
        <w:t>its entrepreneurs can see and take advantage of</w:t>
      </w:r>
      <w:r w:rsidR="00DC60FD">
        <w:t xml:space="preserve">”, the ability to </w:t>
      </w:r>
      <w:r w:rsidR="00DC60FD" w:rsidRPr="00DC60FD">
        <w:t>“integrate,</w:t>
      </w:r>
      <w:r w:rsidR="00DC60FD">
        <w:t xml:space="preserve"> </w:t>
      </w:r>
      <w:r w:rsidR="00DC60FD" w:rsidRPr="00DC60FD">
        <w:t>build, and reconfigure internal and external competencies to address rapidly changing</w:t>
      </w:r>
      <w:r w:rsidR="00DC60FD">
        <w:t xml:space="preserve"> </w:t>
      </w:r>
      <w:r w:rsidR="00DC60FD" w:rsidRPr="00DC60FD">
        <w:t>environments” (Teece</w:t>
      </w:r>
      <w:r w:rsidR="00E80355">
        <w:t xml:space="preserve">, Pisano &amp; </w:t>
      </w:r>
      <w:proofErr w:type="spellStart"/>
      <w:r w:rsidR="00E80355">
        <w:t>Shuen</w:t>
      </w:r>
      <w:proofErr w:type="spellEnd"/>
      <w:r w:rsidR="00E80355">
        <w:t xml:space="preserve">, </w:t>
      </w:r>
      <w:r w:rsidR="00DC60FD" w:rsidRPr="00DC60FD">
        <w:t>1997, p. 516).</w:t>
      </w:r>
      <w:r w:rsidR="00D6394E" w:rsidRPr="00FD2CA7">
        <w:t xml:space="preserve"> </w:t>
      </w:r>
      <w:r w:rsidR="002F49FF">
        <w:rPr>
          <w:bCs/>
        </w:rPr>
        <w:t xml:space="preserve">In </w:t>
      </w:r>
      <w:r w:rsidR="004C37DC">
        <w:t>o</w:t>
      </w:r>
      <w:r w:rsidR="004C37DC" w:rsidRPr="00FD2CA7">
        <w:t xml:space="preserve">ur </w:t>
      </w:r>
      <w:r w:rsidR="002F49FF">
        <w:t>R</w:t>
      </w:r>
      <w:r w:rsidR="004C37DC">
        <w:t>OA,</w:t>
      </w:r>
      <w:r w:rsidR="004C37DC" w:rsidRPr="00FD2CA7">
        <w:t xml:space="preserve"> the response strategy captures the idea of how value can be created by timely reconfiguration of the resource base that are most valuable when they are oriented towards specific </w:t>
      </w:r>
      <w:r w:rsidR="004C37DC">
        <w:t xml:space="preserve">change or </w:t>
      </w:r>
      <w:r w:rsidR="002F49FF">
        <w:t>some new possibilities</w:t>
      </w:r>
      <w:r w:rsidR="004C37DC" w:rsidRPr="00FD2CA7">
        <w:t xml:space="preserve">. </w:t>
      </w:r>
      <w:r w:rsidR="009612B5" w:rsidRPr="00FD2CA7">
        <w:t>Preservation capacity with RO</w:t>
      </w:r>
      <w:r w:rsidR="009612B5">
        <w:t>A</w:t>
      </w:r>
      <w:r w:rsidR="009612B5" w:rsidRPr="00FD2CA7">
        <w:t xml:space="preserve"> provides </w:t>
      </w:r>
      <w:r w:rsidR="004323A0">
        <w:t>organi</w:t>
      </w:r>
      <w:r w:rsidR="006F1E41">
        <w:t>s</w:t>
      </w:r>
      <w:r w:rsidR="004323A0">
        <w:t xml:space="preserve">ations </w:t>
      </w:r>
      <w:r w:rsidR="009612B5" w:rsidRPr="00FD2CA7">
        <w:t>with options on the future and provides the firm with resource path that constitutes a different set of options. We expect</w:t>
      </w:r>
      <w:r w:rsidR="002F49FF">
        <w:t xml:space="preserve"> the</w:t>
      </w:r>
      <w:r w:rsidR="009612B5" w:rsidRPr="00FD2CA7">
        <w:t xml:space="preserve"> RO</w:t>
      </w:r>
      <w:r w:rsidR="009612B5">
        <w:t>A</w:t>
      </w:r>
      <w:r w:rsidR="009612B5" w:rsidRPr="00FD2CA7">
        <w:t xml:space="preserve"> </w:t>
      </w:r>
      <w:r w:rsidR="002F49FF">
        <w:t xml:space="preserve">to </w:t>
      </w:r>
      <w:r w:rsidR="009612B5" w:rsidRPr="00FD2CA7">
        <w:t xml:space="preserve">generate dynamic resource capabilities through dynamic response; developing revision possibilities; and generating real options. </w:t>
      </w:r>
    </w:p>
    <w:p w14:paraId="70606C0C" w14:textId="589B6C59" w:rsidR="00AB2F61" w:rsidRPr="00AB2F61" w:rsidRDefault="002E5522" w:rsidP="009D468A">
      <w:pPr>
        <w:spacing w:before="120" w:after="120" w:line="480" w:lineRule="auto"/>
        <w:ind w:firstLine="284"/>
        <w:jc w:val="both"/>
      </w:pPr>
      <w:r>
        <w:rPr>
          <w:bCs/>
          <w:iCs/>
          <w:color w:val="000000" w:themeColor="text1"/>
        </w:rPr>
        <w:t>Th</w:t>
      </w:r>
      <w:r w:rsidR="00974A92">
        <w:rPr>
          <w:bCs/>
          <w:iCs/>
          <w:color w:val="000000" w:themeColor="text1"/>
        </w:rPr>
        <w:t>us, th</w:t>
      </w:r>
      <w:r>
        <w:rPr>
          <w:bCs/>
          <w:iCs/>
          <w:color w:val="000000" w:themeColor="text1"/>
        </w:rPr>
        <w:t>e time-to-build option</w:t>
      </w:r>
      <w:r w:rsidR="00D6394E">
        <w:rPr>
          <w:bCs/>
          <w:iCs/>
          <w:color w:val="000000" w:themeColor="text1"/>
        </w:rPr>
        <w:t xml:space="preserve"> </w:t>
      </w:r>
      <w:r w:rsidR="00CE47FC">
        <w:rPr>
          <w:bCs/>
          <w:iCs/>
          <w:color w:val="000000" w:themeColor="text1"/>
        </w:rPr>
        <w:t xml:space="preserve">is </w:t>
      </w:r>
      <w:r w:rsidR="00C448FC">
        <w:rPr>
          <w:bCs/>
          <w:iCs/>
          <w:color w:val="000000" w:themeColor="text1"/>
        </w:rPr>
        <w:t xml:space="preserve">the </w:t>
      </w:r>
      <w:r w:rsidRPr="003466FD">
        <w:rPr>
          <w:bCs/>
          <w:color w:val="000000" w:themeColor="text1"/>
        </w:rPr>
        <w:t>discovery</w:t>
      </w:r>
      <w:r w:rsidRPr="004F3510">
        <w:rPr>
          <w:bCs/>
          <w:color w:val="000000" w:themeColor="text1"/>
        </w:rPr>
        <w:t xml:space="preserve"> or</w:t>
      </w:r>
      <w:r>
        <w:rPr>
          <w:bCs/>
          <w:i/>
          <w:iCs/>
          <w:color w:val="000000" w:themeColor="text1"/>
        </w:rPr>
        <w:t xml:space="preserve"> </w:t>
      </w:r>
      <w:r>
        <w:rPr>
          <w:bCs/>
          <w:color w:val="000000" w:themeColor="text1"/>
        </w:rPr>
        <w:t xml:space="preserve">creation </w:t>
      </w:r>
      <w:r w:rsidRPr="003466FD">
        <w:rPr>
          <w:bCs/>
          <w:iCs/>
          <w:color w:val="000000" w:themeColor="text1"/>
        </w:rPr>
        <w:t xml:space="preserve">of </w:t>
      </w:r>
      <w:r>
        <w:rPr>
          <w:bCs/>
          <w:iCs/>
          <w:color w:val="000000" w:themeColor="text1"/>
        </w:rPr>
        <w:t xml:space="preserve">an </w:t>
      </w:r>
      <w:r w:rsidRPr="003466FD">
        <w:rPr>
          <w:bCs/>
          <w:iCs/>
          <w:color w:val="000000" w:themeColor="text1"/>
        </w:rPr>
        <w:t>opportunity</w:t>
      </w:r>
      <w:r>
        <w:rPr>
          <w:bCs/>
          <w:iCs/>
          <w:color w:val="000000" w:themeColor="text1"/>
        </w:rPr>
        <w:t xml:space="preserve">. </w:t>
      </w:r>
      <w:r w:rsidR="00A0397E">
        <w:rPr>
          <w:bCs/>
        </w:rPr>
        <w:t xml:space="preserve">The time-to-build option </w:t>
      </w:r>
      <w:r w:rsidR="00A0397E" w:rsidRPr="007376F0">
        <w:t xml:space="preserve">can be </w:t>
      </w:r>
      <w:r w:rsidR="00A0397E">
        <w:t>sub</w:t>
      </w:r>
      <w:r w:rsidR="00A0397E" w:rsidRPr="007376F0">
        <w:t>divided into smaller steps</w:t>
      </w:r>
      <w:r w:rsidR="00A0397E">
        <w:t xml:space="preserve">, </w:t>
      </w:r>
      <w:r w:rsidR="00A0397E" w:rsidRPr="007376F0">
        <w:t xml:space="preserve">instead of </w:t>
      </w:r>
      <w:r w:rsidR="00A0397E">
        <w:t xml:space="preserve">executing </w:t>
      </w:r>
      <w:r w:rsidR="00A0397E" w:rsidRPr="007376F0">
        <w:t>all at once</w:t>
      </w:r>
      <w:r w:rsidR="00A0397E">
        <w:t xml:space="preserve">, giving more time to search and organise all the </w:t>
      </w:r>
      <w:r w:rsidR="00A0397E" w:rsidRPr="007376F0">
        <w:t xml:space="preserve">information. </w:t>
      </w:r>
      <w:r>
        <w:rPr>
          <w:bCs/>
        </w:rPr>
        <w:t xml:space="preserve">Crucially, </w:t>
      </w:r>
      <w:r>
        <w:t>w</w:t>
      </w:r>
      <w:r w:rsidRPr="007376F0">
        <w:t>ith the time-to-build option</w:t>
      </w:r>
      <w:r>
        <w:t xml:space="preserve">, </w:t>
      </w:r>
      <w:r w:rsidRPr="007376F0">
        <w:t xml:space="preserve">the source of the uncertainty is the abundance of information, </w:t>
      </w:r>
      <w:r>
        <w:t>that</w:t>
      </w:r>
      <w:r w:rsidRPr="007376F0">
        <w:t xml:space="preserve"> allows beginning the decision-making process with a relatively </w:t>
      </w:r>
      <w:r>
        <w:t>small scale of</w:t>
      </w:r>
      <w:r w:rsidRPr="007376F0">
        <w:t xml:space="preserve"> decision. </w:t>
      </w:r>
      <w:r w:rsidRPr="00FD2CA7">
        <w:t xml:space="preserve">Capabilities are therefore in synergistic and growth </w:t>
      </w:r>
      <w:r w:rsidR="00C448FC" w:rsidRPr="00FD2CA7">
        <w:t>opportunit</w:t>
      </w:r>
      <w:r w:rsidR="00C448FC">
        <w:t>ies</w:t>
      </w:r>
      <w:r w:rsidR="00C448FC" w:rsidRPr="00FD2CA7">
        <w:t xml:space="preserve"> </w:t>
      </w:r>
      <w:r w:rsidRPr="00FD2CA7">
        <w:t xml:space="preserve">that are discovered, as well as, created. </w:t>
      </w:r>
      <w:r w:rsidR="00974A92">
        <w:t xml:space="preserve">Our </w:t>
      </w:r>
      <w:r>
        <w:t>findings suggest that f</w:t>
      </w:r>
      <w:r w:rsidRPr="00FD2CA7">
        <w:t>irst, an option has value only if there is uncertainty</w:t>
      </w:r>
      <w:r w:rsidR="008540E1">
        <w:t>,</w:t>
      </w:r>
      <w:r w:rsidRPr="00FD2CA7">
        <w:t xml:space="preserve"> though defining the relevant source of the uncertainty is not trivial. Secondly, an operationally important element of design is the provision of discretion, to correspond to discrete points of </w:t>
      </w:r>
      <w:r w:rsidR="00640BBB">
        <w:t>‘</w:t>
      </w:r>
      <w:r w:rsidRPr="00FD2CA7">
        <w:t>go</w:t>
      </w:r>
      <w:r w:rsidR="001415DF">
        <w:t xml:space="preserve"> </w:t>
      </w:r>
      <w:r w:rsidRPr="00FD2CA7">
        <w:t>no</w:t>
      </w:r>
      <w:r w:rsidR="001415DF">
        <w:t>-</w:t>
      </w:r>
      <w:r w:rsidRPr="00FD2CA7">
        <w:t>go</w:t>
      </w:r>
      <w:r w:rsidR="00640BBB">
        <w:t>’</w:t>
      </w:r>
      <w:r w:rsidRPr="00FD2CA7">
        <w:t xml:space="preserve"> decisions. Thirdly, the concept of irreversibility is critical to </w:t>
      </w:r>
      <w:r w:rsidR="00544EB2">
        <w:t xml:space="preserve">the explanation </w:t>
      </w:r>
      <w:r w:rsidR="00C448FC">
        <w:t xml:space="preserve">of </w:t>
      </w:r>
      <w:r w:rsidRPr="00FD2CA7">
        <w:t>why inertia of organi</w:t>
      </w:r>
      <w:r w:rsidR="006F1E41">
        <w:t>s</w:t>
      </w:r>
      <w:r w:rsidRPr="00FD2CA7">
        <w:t xml:space="preserve">ational capabilities is the source of the value </w:t>
      </w:r>
      <w:r w:rsidR="00640BBB">
        <w:t>for</w:t>
      </w:r>
      <w:r w:rsidRPr="00FD2CA7">
        <w:t xml:space="preserve"> real options. Irreversibility does not mean that firms cannot change, or that transformation is not possible (</w:t>
      </w:r>
      <w:bookmarkStart w:id="10" w:name="_Hlk88666943"/>
      <w:proofErr w:type="spellStart"/>
      <w:r w:rsidRPr="00FD2CA7">
        <w:t>Kogut</w:t>
      </w:r>
      <w:proofErr w:type="spellEnd"/>
      <w:r w:rsidRPr="00FD2CA7">
        <w:t xml:space="preserve"> and </w:t>
      </w:r>
      <w:proofErr w:type="spellStart"/>
      <w:r w:rsidRPr="00FD2CA7">
        <w:t>Kulatilaka</w:t>
      </w:r>
      <w:proofErr w:type="spellEnd"/>
      <w:r w:rsidRPr="00FD2CA7">
        <w:t>, 2001</w:t>
      </w:r>
      <w:bookmarkEnd w:id="10"/>
      <w:r w:rsidRPr="00FD2CA7">
        <w:t>)</w:t>
      </w:r>
      <w:r w:rsidR="00640BBB">
        <w:t xml:space="preserve">, it </w:t>
      </w:r>
      <w:r w:rsidR="00544EB2">
        <w:t xml:space="preserve">does </w:t>
      </w:r>
      <w:r w:rsidR="00640BBB">
        <w:lastRenderedPageBreak/>
        <w:t xml:space="preserve">mean however that if a decision can be </w:t>
      </w:r>
      <w:proofErr w:type="spellStart"/>
      <w:r w:rsidR="00640BBB">
        <w:t>costlessly</w:t>
      </w:r>
      <w:proofErr w:type="spellEnd"/>
      <w:r w:rsidR="00640BBB">
        <w:t xml:space="preserve"> reversed, then uncertainty has no direct effect on the decision, and therefore, </w:t>
      </w:r>
      <w:r w:rsidR="00544EB2">
        <w:t xml:space="preserve">without </w:t>
      </w:r>
      <w:r w:rsidR="00640BBB">
        <w:t xml:space="preserve">uncertainty </w:t>
      </w:r>
      <w:r w:rsidR="00544EB2">
        <w:t>there is</w:t>
      </w:r>
      <w:r w:rsidR="00640BBB">
        <w:t xml:space="preserve"> no option value (see Dixit &amp; </w:t>
      </w:r>
      <w:proofErr w:type="spellStart"/>
      <w:r w:rsidR="00640BBB">
        <w:t>Pindyck</w:t>
      </w:r>
      <w:proofErr w:type="spellEnd"/>
      <w:r w:rsidR="00640BBB">
        <w:t>, 1994)</w:t>
      </w:r>
      <w:r w:rsidRPr="00FD2CA7">
        <w:t>.</w:t>
      </w:r>
      <w:r w:rsidR="00FA7E5E" w:rsidRPr="00FA7E5E">
        <w:rPr>
          <w:iCs/>
        </w:rPr>
        <w:t xml:space="preserve"> </w:t>
      </w:r>
      <w:r w:rsidR="00FA7E5E">
        <w:rPr>
          <w:iCs/>
        </w:rPr>
        <w:t xml:space="preserve">The ROA allows for a </w:t>
      </w:r>
      <w:r w:rsidR="00FA7E5E" w:rsidRPr="00FD2CA7">
        <w:t>more effective respon</w:t>
      </w:r>
      <w:r w:rsidR="00FA7E5E">
        <w:t>se</w:t>
      </w:r>
      <w:r w:rsidR="00FA7E5E" w:rsidRPr="00FD2CA7">
        <w:t xml:space="preserve"> to unexpected </w:t>
      </w:r>
      <w:r w:rsidR="00FA7E5E">
        <w:t xml:space="preserve">disturbance </w:t>
      </w:r>
      <w:r w:rsidR="00FA7E5E" w:rsidRPr="00FD2CA7">
        <w:t xml:space="preserve">interruption or opportunities in a changing technological competitive or general business environment </w:t>
      </w:r>
      <w:r w:rsidR="00C448FC">
        <w:t xml:space="preserve">that </w:t>
      </w:r>
      <w:r w:rsidR="00FA7E5E" w:rsidRPr="00FD2CA7">
        <w:t>require compound options</w:t>
      </w:r>
      <w:r w:rsidR="00FA7E5E">
        <w:t>. T</w:t>
      </w:r>
      <w:r w:rsidR="00FA7E5E" w:rsidRPr="00FD2CA7">
        <w:t xml:space="preserve">hrough </w:t>
      </w:r>
      <w:r w:rsidR="00C448FC">
        <w:t>this</w:t>
      </w:r>
      <w:r w:rsidR="00FA7E5E">
        <w:t>,</w:t>
      </w:r>
      <w:r w:rsidR="00FA7E5E" w:rsidRPr="00FD2CA7">
        <w:t xml:space="preserve"> we argu</w:t>
      </w:r>
      <w:r w:rsidR="00FA7E5E">
        <w:t>e</w:t>
      </w:r>
      <w:r w:rsidR="00FA7E5E" w:rsidRPr="00FD2CA7">
        <w:t xml:space="preserve"> </w:t>
      </w:r>
      <w:r w:rsidR="00C448FC">
        <w:t>actors and organi</w:t>
      </w:r>
      <w:r w:rsidR="006F1E41">
        <w:t>s</w:t>
      </w:r>
      <w:r w:rsidR="00C448FC">
        <w:t>ation must</w:t>
      </w:r>
      <w:r w:rsidR="00FA7E5E" w:rsidRPr="00FD2CA7">
        <w:t xml:space="preserve"> reserve the advantage through deploying and reconfiguring choice structures (</w:t>
      </w:r>
      <w:r w:rsidR="00FA7E5E" w:rsidRPr="00CE47FC">
        <w:rPr>
          <w:iCs/>
        </w:rPr>
        <w:t>dynamic coherence</w:t>
      </w:r>
      <w:r w:rsidR="00FA7E5E" w:rsidRPr="00FD2CA7">
        <w:t>), which is valuable to managers when the value of an even/decision moves unfold.</w:t>
      </w:r>
    </w:p>
    <w:p w14:paraId="3E1DF442" w14:textId="576FD43A" w:rsidR="00F07E6E" w:rsidRPr="00D8788D" w:rsidRDefault="00F07E6E" w:rsidP="00D8788D">
      <w:pPr>
        <w:spacing w:before="240" w:after="120" w:line="480" w:lineRule="auto"/>
        <w:rPr>
          <w:b/>
        </w:rPr>
      </w:pPr>
      <w:r w:rsidRPr="00D8788D">
        <w:rPr>
          <w:b/>
        </w:rPr>
        <w:t>Conclusion</w:t>
      </w:r>
      <w:r w:rsidR="006F47C7" w:rsidRPr="00D8788D">
        <w:rPr>
          <w:b/>
        </w:rPr>
        <w:t xml:space="preserve"> and implications</w:t>
      </w:r>
      <w:r w:rsidRPr="00D8788D">
        <w:rPr>
          <w:b/>
        </w:rPr>
        <w:t xml:space="preserve"> </w:t>
      </w:r>
    </w:p>
    <w:p w14:paraId="3EA17D91" w14:textId="0AAA1350" w:rsidR="005C42DB" w:rsidRDefault="00AF479B" w:rsidP="00D8788D">
      <w:pPr>
        <w:spacing w:before="120" w:line="480" w:lineRule="auto"/>
        <w:jc w:val="both"/>
      </w:pPr>
      <w:r w:rsidRPr="00456CD4">
        <w:rPr>
          <w:bCs/>
        </w:rPr>
        <w:t xml:space="preserve">Research on real options has </w:t>
      </w:r>
      <w:r w:rsidRPr="00456CD4">
        <w:t xml:space="preserve">offered a set of primary </w:t>
      </w:r>
      <w:r w:rsidR="00544EB2">
        <w:t xml:space="preserve">or elemental </w:t>
      </w:r>
      <w:r w:rsidRPr="00456CD4">
        <w:t>options, including deferral, expand, switch, abandonment, and sequential exchange compound options</w:t>
      </w:r>
      <w:r w:rsidR="00CE47FC">
        <w:t>.</w:t>
      </w:r>
      <w:r w:rsidR="00051435" w:rsidRPr="00456CD4">
        <w:t xml:space="preserve"> </w:t>
      </w:r>
      <w:r w:rsidR="00CA6B0D" w:rsidRPr="00456CD4">
        <w:rPr>
          <w:bCs/>
          <w:iCs/>
          <w:color w:val="000000" w:themeColor="text1"/>
        </w:rPr>
        <w:t xml:space="preserve">Our ROA </w:t>
      </w:r>
      <w:r w:rsidR="00544EB2">
        <w:rPr>
          <w:bCs/>
          <w:iCs/>
          <w:color w:val="000000" w:themeColor="text1"/>
        </w:rPr>
        <w:t xml:space="preserve">is applied to </w:t>
      </w:r>
      <w:r w:rsidR="00CA6B0D" w:rsidRPr="00456CD4">
        <w:rPr>
          <w:bCs/>
        </w:rPr>
        <w:t xml:space="preserve">the post-pandemic situation </w:t>
      </w:r>
      <w:r w:rsidR="00544EB2">
        <w:rPr>
          <w:bCs/>
        </w:rPr>
        <w:t xml:space="preserve">at a time when </w:t>
      </w:r>
      <w:r w:rsidR="00CA6B0D" w:rsidRPr="00456CD4">
        <w:rPr>
          <w:bCs/>
        </w:rPr>
        <w:t>the virus is likely to become ‘endemic’ in societ</w:t>
      </w:r>
      <w:r w:rsidR="00544EB2">
        <w:rPr>
          <w:bCs/>
        </w:rPr>
        <w:t>ies</w:t>
      </w:r>
      <w:r w:rsidR="00CA6B0D" w:rsidRPr="00456CD4">
        <w:rPr>
          <w:bCs/>
        </w:rPr>
        <w:t xml:space="preserve">, </w:t>
      </w:r>
      <w:r w:rsidR="00544EB2">
        <w:rPr>
          <w:bCs/>
        </w:rPr>
        <w:t>where u</w:t>
      </w:r>
      <w:r w:rsidR="00CA6B0D" w:rsidRPr="00456CD4">
        <w:rPr>
          <w:bCs/>
        </w:rPr>
        <w:t xml:space="preserve">ncertainties will continue to exist, such as uncertainty about the duration of the endemic period, uncertainty over the timing of any breakouts that might occur, and the likelihood </w:t>
      </w:r>
      <w:r w:rsidR="00544EB2">
        <w:rPr>
          <w:bCs/>
        </w:rPr>
        <w:t xml:space="preserve">that future breakouts will trigger </w:t>
      </w:r>
      <w:r w:rsidR="00CA6B0D" w:rsidRPr="00456CD4">
        <w:rPr>
          <w:bCs/>
        </w:rPr>
        <w:t>further pandemics</w:t>
      </w:r>
      <w:r w:rsidR="00544EB2">
        <w:rPr>
          <w:bCs/>
        </w:rPr>
        <w:t>,</w:t>
      </w:r>
      <w:r w:rsidR="00CA6B0D" w:rsidRPr="00456CD4">
        <w:rPr>
          <w:bCs/>
        </w:rPr>
        <w:t xml:space="preserve"> as </w:t>
      </w:r>
      <w:r w:rsidR="00544EB2">
        <w:rPr>
          <w:bCs/>
        </w:rPr>
        <w:t xml:space="preserve">exemplified by the recent </w:t>
      </w:r>
      <w:r w:rsidR="00CA6B0D" w:rsidRPr="00456CD4">
        <w:rPr>
          <w:bCs/>
        </w:rPr>
        <w:t xml:space="preserve">discovery of the Omicron variant in November 2021 which </w:t>
      </w:r>
      <w:r w:rsidR="00544EB2">
        <w:rPr>
          <w:bCs/>
        </w:rPr>
        <w:t xml:space="preserve">has </w:t>
      </w:r>
      <w:r w:rsidR="00CA6B0D" w:rsidRPr="00456CD4">
        <w:rPr>
          <w:bCs/>
        </w:rPr>
        <w:t xml:space="preserve">led to </w:t>
      </w:r>
      <w:r w:rsidR="00544EB2">
        <w:rPr>
          <w:bCs/>
        </w:rPr>
        <w:t xml:space="preserve">further restrictions and the introduction of more circuit breakers in the UK, Europe, and elsewhere. </w:t>
      </w:r>
      <w:r w:rsidR="00DD480C">
        <w:t>Organi</w:t>
      </w:r>
      <w:r w:rsidR="006F1E41">
        <w:t>s</w:t>
      </w:r>
      <w:r w:rsidR="00DD480C">
        <w:t>ations’</w:t>
      </w:r>
      <w:r w:rsidR="008D46A5" w:rsidRPr="00FD2CA7">
        <w:t xml:space="preserve"> capabilities in dealing with the complexity of the cross-sectional linkages relate to</w:t>
      </w:r>
      <w:r w:rsidR="008D46A5">
        <w:t xml:space="preserve"> </w:t>
      </w:r>
      <w:r w:rsidR="00DD480C">
        <w:t>organi</w:t>
      </w:r>
      <w:r w:rsidR="006F1E41">
        <w:t>s</w:t>
      </w:r>
      <w:r w:rsidR="00DD480C">
        <w:t>ations</w:t>
      </w:r>
      <w:r w:rsidR="008D46A5">
        <w:t>’</w:t>
      </w:r>
      <w:r w:rsidR="008D46A5" w:rsidRPr="00FD2CA7">
        <w:t xml:space="preserve"> dynamic </w:t>
      </w:r>
      <w:r w:rsidR="008D46A5" w:rsidRPr="00851485">
        <w:rPr>
          <w:iCs/>
        </w:rPr>
        <w:t>revision possibilities.</w:t>
      </w:r>
      <w:r w:rsidR="008D46A5" w:rsidRPr="00FD2CA7">
        <w:t xml:space="preserve"> Dynamic revision enables adaptation and makes available a flexible response </w:t>
      </w:r>
      <w:r w:rsidR="00544EB2">
        <w:t xml:space="preserve">that is </w:t>
      </w:r>
      <w:r w:rsidR="008D46A5" w:rsidRPr="00FD2CA7">
        <w:t xml:space="preserve">captured by </w:t>
      </w:r>
      <w:r w:rsidR="00544EB2">
        <w:t>v</w:t>
      </w:r>
      <w:r w:rsidR="008D46A5" w:rsidRPr="00FD2CA7">
        <w:t>ariables associated with organisational learning and cooperative behaviours. RO</w:t>
      </w:r>
      <w:r w:rsidR="008D46A5">
        <w:t>A</w:t>
      </w:r>
      <w:r w:rsidR="008D46A5" w:rsidRPr="00FD2CA7">
        <w:t xml:space="preserve"> can tackle the irreversibility by introducing a time asymmetry into the analysis by placing a time subscript on the value of resources (see </w:t>
      </w:r>
      <w:proofErr w:type="spellStart"/>
      <w:r w:rsidR="008D46A5" w:rsidRPr="00FD2CA7">
        <w:t>Pindyck</w:t>
      </w:r>
      <w:proofErr w:type="spellEnd"/>
      <w:r w:rsidR="008D46A5" w:rsidRPr="00FD2CA7">
        <w:t>, 1991</w:t>
      </w:r>
      <w:r w:rsidR="00DF198C">
        <w:t>;</w:t>
      </w:r>
      <w:r w:rsidR="008D46A5" w:rsidRPr="00FD2CA7">
        <w:t xml:space="preserve"> Dixit and </w:t>
      </w:r>
      <w:proofErr w:type="spellStart"/>
      <w:r w:rsidR="008D46A5" w:rsidRPr="00FD2CA7">
        <w:t>Pindyck</w:t>
      </w:r>
      <w:proofErr w:type="spellEnd"/>
      <w:r w:rsidR="008D46A5" w:rsidRPr="00FD2CA7">
        <w:t xml:space="preserve">, 1994). For example, when the value of resource bundles </w:t>
      </w:r>
      <w:r w:rsidR="008D46A5">
        <w:t>is</w:t>
      </w:r>
      <w:r w:rsidR="008D46A5" w:rsidRPr="00FD2CA7">
        <w:t xml:space="preserve"> stochastic, </w:t>
      </w:r>
      <w:r w:rsidR="00544EB2">
        <w:t xml:space="preserve">resource </w:t>
      </w:r>
      <w:r w:rsidR="008D46A5" w:rsidRPr="00FD2CA7">
        <w:t>accumulati</w:t>
      </w:r>
      <w:r w:rsidR="00544EB2">
        <w:t xml:space="preserve">on </w:t>
      </w:r>
      <w:r w:rsidR="008D46A5" w:rsidRPr="00FD2CA7">
        <w:t xml:space="preserve">bears the risk that their future value may be at a discount relative to the present, with the consequence that the firm may be unable to fully recover </w:t>
      </w:r>
      <w:r w:rsidR="00C448FC">
        <w:t>its</w:t>
      </w:r>
      <w:r w:rsidR="00C448FC" w:rsidRPr="00FD2CA7">
        <w:t xml:space="preserve"> </w:t>
      </w:r>
      <w:r w:rsidR="008D46A5" w:rsidRPr="00FD2CA7">
        <w:t xml:space="preserve">investment costs. </w:t>
      </w:r>
      <w:r w:rsidR="008D46A5" w:rsidRPr="00FD2CA7">
        <w:lastRenderedPageBreak/>
        <w:t>RO</w:t>
      </w:r>
      <w:r w:rsidR="008D46A5">
        <w:t>A</w:t>
      </w:r>
      <w:r w:rsidR="00D87086">
        <w:t xml:space="preserve"> </w:t>
      </w:r>
      <w:r w:rsidR="008D46A5" w:rsidRPr="00FD2CA7">
        <w:t>allow</w:t>
      </w:r>
      <w:r w:rsidR="00544EB2">
        <w:t>s</w:t>
      </w:r>
      <w:r w:rsidR="008D46A5" w:rsidRPr="00FD2CA7">
        <w:t xml:space="preserve"> for revision possibilities by facilitating adjustments or switching along various alternative paths as opportunities </w:t>
      </w:r>
      <w:r w:rsidR="008540E1">
        <w:t>arise</w:t>
      </w:r>
      <w:r w:rsidR="008D46A5" w:rsidRPr="00FD2CA7">
        <w:t xml:space="preserve">. </w:t>
      </w:r>
    </w:p>
    <w:p w14:paraId="4C52B4E3" w14:textId="3924DB66" w:rsidR="002F2881" w:rsidRPr="002F2881" w:rsidRDefault="002F2881" w:rsidP="009D468A">
      <w:pPr>
        <w:spacing w:before="120" w:line="480" w:lineRule="auto"/>
        <w:ind w:firstLine="284"/>
        <w:jc w:val="both"/>
        <w:rPr>
          <w:bCs/>
        </w:rPr>
      </w:pPr>
      <w:r w:rsidRPr="00456CD4">
        <w:rPr>
          <w:bCs/>
        </w:rPr>
        <w:t xml:space="preserve">While real options modelling has become a valuable tool for corporate </w:t>
      </w:r>
      <w:r w:rsidR="00C448FC" w:rsidRPr="00456CD4">
        <w:rPr>
          <w:bCs/>
        </w:rPr>
        <w:t>decision</w:t>
      </w:r>
      <w:r w:rsidR="00C448FC">
        <w:rPr>
          <w:bCs/>
        </w:rPr>
        <w:t>-</w:t>
      </w:r>
      <w:r w:rsidRPr="00456CD4">
        <w:rPr>
          <w:bCs/>
        </w:rPr>
        <w:t xml:space="preserve">makers, extending the approach to governments has barely begun, exceptionally few studies </w:t>
      </w:r>
      <w:bookmarkStart w:id="11" w:name="_Hlk88821263"/>
      <w:r w:rsidRPr="00456CD4">
        <w:rPr>
          <w:bCs/>
        </w:rPr>
        <w:t xml:space="preserve">(e.g., </w:t>
      </w:r>
      <w:proofErr w:type="spellStart"/>
      <w:r w:rsidRPr="00456CD4">
        <w:rPr>
          <w:bCs/>
        </w:rPr>
        <w:t>Chakhovich</w:t>
      </w:r>
      <w:proofErr w:type="spellEnd"/>
      <w:r w:rsidRPr="00456CD4">
        <w:rPr>
          <w:bCs/>
        </w:rPr>
        <w:t xml:space="preserve"> and </w:t>
      </w:r>
      <w:proofErr w:type="spellStart"/>
      <w:r w:rsidRPr="00456CD4">
        <w:rPr>
          <w:bCs/>
        </w:rPr>
        <w:t>Marttila</w:t>
      </w:r>
      <w:proofErr w:type="spellEnd"/>
      <w:r w:rsidRPr="00456CD4">
        <w:rPr>
          <w:bCs/>
        </w:rPr>
        <w:t>, 2020</w:t>
      </w:r>
      <w:bookmarkEnd w:id="11"/>
      <w:r w:rsidRPr="00456CD4">
        <w:rPr>
          <w:bCs/>
        </w:rPr>
        <w:t xml:space="preserve">) have recognised the value of real options to assess the possible alternatives </w:t>
      </w:r>
      <w:r>
        <w:rPr>
          <w:bCs/>
        </w:rPr>
        <w:t xml:space="preserve">for governments and corporates, </w:t>
      </w:r>
      <w:r w:rsidRPr="00456CD4">
        <w:rPr>
          <w:bCs/>
        </w:rPr>
        <w:t>and analyse the outcomes of un</w:t>
      </w:r>
      <w:r>
        <w:rPr>
          <w:bCs/>
        </w:rPr>
        <w:t xml:space="preserve">predictable </w:t>
      </w:r>
      <w:r w:rsidRPr="00456CD4">
        <w:rPr>
          <w:bCs/>
        </w:rPr>
        <w:t xml:space="preserve">events such as the </w:t>
      </w:r>
      <w:r>
        <w:rPr>
          <w:bCs/>
        </w:rPr>
        <w:t>COVID</w:t>
      </w:r>
      <w:r w:rsidRPr="00456CD4">
        <w:rPr>
          <w:bCs/>
        </w:rPr>
        <w:t xml:space="preserve"> crisis. </w:t>
      </w:r>
      <w:r w:rsidR="00A0397E">
        <w:rPr>
          <w:bCs/>
        </w:rPr>
        <w:t>L</w:t>
      </w:r>
      <w:r>
        <w:rPr>
          <w:bCs/>
        </w:rPr>
        <w:t>imitations also exi</w:t>
      </w:r>
      <w:r w:rsidR="00C448FC">
        <w:rPr>
          <w:bCs/>
        </w:rPr>
        <w:t>s</w:t>
      </w:r>
      <w:r>
        <w:rPr>
          <w:bCs/>
        </w:rPr>
        <w:t xml:space="preserve">t in the modelling process. </w:t>
      </w:r>
      <w:r>
        <w:t xml:space="preserve">To strengthen research, the above reveals </w:t>
      </w:r>
      <w:r>
        <w:rPr>
          <w:bCs/>
        </w:rPr>
        <w:t xml:space="preserve">clearly, there are multiple uncertainties and the need to consider non-market uncertainties suggest that Black-Scholes modelling procedures and their variants will have limited value in a real options world that includes pandemics such as COVID-19 and the government policy initiatives designed to combat the spread. </w:t>
      </w:r>
      <w:r>
        <w:t>Also, c</w:t>
      </w:r>
      <w:r w:rsidRPr="00456CD4">
        <w:t xml:space="preserve">orrelations could be incorporated without increasing the computational burden. </w:t>
      </w:r>
      <w:r w:rsidRPr="00544EB2">
        <w:t xml:space="preserve">For example, </w:t>
      </w:r>
      <w:r>
        <w:t xml:space="preserve">abandonment of </w:t>
      </w:r>
      <w:r w:rsidRPr="00544EB2">
        <w:t>production</w:t>
      </w:r>
      <w:r>
        <w:t xml:space="preserve"> or reduce its level</w:t>
      </w:r>
      <w:r w:rsidRPr="00544EB2">
        <w:t xml:space="preserve"> could be </w:t>
      </w:r>
      <w:r>
        <w:t xml:space="preserve">negatively </w:t>
      </w:r>
      <w:r w:rsidRPr="00544EB2">
        <w:t xml:space="preserve">correlated with </w:t>
      </w:r>
      <w:r>
        <w:t xml:space="preserve">the firm </w:t>
      </w:r>
      <w:r w:rsidRPr="00544EB2">
        <w:t xml:space="preserve">market </w:t>
      </w:r>
      <w:r>
        <w:t>value,</w:t>
      </w:r>
      <w:r w:rsidRPr="00544EB2">
        <w:t xml:space="preserve"> and </w:t>
      </w:r>
      <w:r>
        <w:t xml:space="preserve">positively correlate </w:t>
      </w:r>
      <w:r w:rsidR="00C448FC">
        <w:t xml:space="preserve">with </w:t>
      </w:r>
      <w:r>
        <w:t xml:space="preserve">the </w:t>
      </w:r>
      <w:r w:rsidRPr="00544EB2">
        <w:t xml:space="preserve">variable </w:t>
      </w:r>
      <w:r>
        <w:t xml:space="preserve">of </w:t>
      </w:r>
      <w:r w:rsidRPr="00544EB2">
        <w:t>cost.</w:t>
      </w:r>
      <w:r w:rsidRPr="00456CD4">
        <w:t xml:space="preserve"> </w:t>
      </w:r>
      <w:r w:rsidR="0095174D">
        <w:t>To overcome</w:t>
      </w:r>
      <w:r>
        <w:t xml:space="preserve"> </w:t>
      </w:r>
      <w:r w:rsidR="0095174D">
        <w:t xml:space="preserve">the </w:t>
      </w:r>
      <w:r>
        <w:t>limitations</w:t>
      </w:r>
      <w:r w:rsidR="0095174D">
        <w:t>,</w:t>
      </w:r>
      <w:r>
        <w:t xml:space="preserve"> </w:t>
      </w:r>
      <w:r w:rsidRPr="00456CD4">
        <w:t xml:space="preserve">it could be </w:t>
      </w:r>
      <w:r>
        <w:t xml:space="preserve">helpful if </w:t>
      </w:r>
      <w:r w:rsidRPr="00456CD4">
        <w:t>an explicit function of those two inputs</w:t>
      </w:r>
      <w:r>
        <w:t xml:space="preserve"> is defined and implied</w:t>
      </w:r>
      <w:r w:rsidRPr="00456CD4">
        <w:t xml:space="preserve">. Bowman and Moskowitz (2001) point out that the formal use of real options requires any associated models to be adjusted to the situation of each organisation. </w:t>
      </w:r>
      <w:r>
        <w:t>T</w:t>
      </w:r>
      <w:r w:rsidRPr="00456CD4">
        <w:t>he stochastic process of the project value is usually more complex</w:t>
      </w:r>
      <w:r>
        <w:t xml:space="preserve"> (</w:t>
      </w:r>
      <w:proofErr w:type="spellStart"/>
      <w:r w:rsidRPr="00A6486A">
        <w:t>Harikae</w:t>
      </w:r>
      <w:proofErr w:type="spellEnd"/>
      <w:r>
        <w:t xml:space="preserve"> </w:t>
      </w:r>
      <w:r w:rsidRPr="00634C5D">
        <w:rPr>
          <w:i/>
          <w:iCs/>
        </w:rPr>
        <w:t>et al</w:t>
      </w:r>
      <w:r>
        <w:t xml:space="preserve">., </w:t>
      </w:r>
      <w:r w:rsidRPr="00A6486A">
        <w:t>2020)</w:t>
      </w:r>
      <w:r>
        <w:t xml:space="preserve">, and </w:t>
      </w:r>
      <w:r w:rsidR="00C448FC">
        <w:t xml:space="preserve">the </w:t>
      </w:r>
      <w:r w:rsidRPr="00456CD4">
        <w:t>project value calculated from simulation may not be consistent with a Brownian motion</w:t>
      </w:r>
      <w:r w:rsidRPr="00382958">
        <w:t xml:space="preserve"> </w:t>
      </w:r>
      <w:r>
        <w:t>(</w:t>
      </w:r>
      <w:r w:rsidRPr="00456CD4">
        <w:t>Smith</w:t>
      </w:r>
      <w:r>
        <w:t>,</w:t>
      </w:r>
      <w:r w:rsidRPr="00456CD4">
        <w:t xml:space="preserve"> 2005)</w:t>
      </w:r>
      <w:r>
        <w:t>.</w:t>
      </w:r>
    </w:p>
    <w:p w14:paraId="2B12CEAC" w14:textId="39B39C8F" w:rsidR="00657ADD" w:rsidRPr="002F2881" w:rsidRDefault="005C42DB" w:rsidP="009D468A">
      <w:pPr>
        <w:spacing w:before="120" w:line="480" w:lineRule="auto"/>
        <w:ind w:firstLine="284"/>
        <w:jc w:val="both"/>
        <w:rPr>
          <w:bCs/>
        </w:rPr>
      </w:pPr>
      <w:r w:rsidRPr="00456CD4">
        <w:rPr>
          <w:bCs/>
        </w:rPr>
        <w:t xml:space="preserve">From a corporate perspective, </w:t>
      </w:r>
      <w:r w:rsidR="002F2881">
        <w:rPr>
          <w:bCs/>
        </w:rPr>
        <w:t xml:space="preserve">we demonstrate that </w:t>
      </w:r>
      <w:r w:rsidRPr="00456CD4">
        <w:rPr>
          <w:bCs/>
        </w:rPr>
        <w:t>ROA provide</w:t>
      </w:r>
      <w:r w:rsidR="00CE47FC">
        <w:rPr>
          <w:bCs/>
        </w:rPr>
        <w:t>s</w:t>
      </w:r>
      <w:r w:rsidRPr="00456CD4">
        <w:rPr>
          <w:bCs/>
        </w:rPr>
        <w:t xml:space="preserve"> a robust set of heuristics that firms can deploy to exploit the uncertainties within markets and identify the economic value that could be created from having the flexibility to respond, such as the ability to defer decisions, </w:t>
      </w:r>
      <w:r w:rsidR="00544EB2">
        <w:rPr>
          <w:bCs/>
        </w:rPr>
        <w:t xml:space="preserve">the </w:t>
      </w:r>
      <w:r w:rsidRPr="00456CD4">
        <w:rPr>
          <w:bCs/>
        </w:rPr>
        <w:t xml:space="preserve">time-to-build, </w:t>
      </w:r>
      <w:r w:rsidR="00544EB2">
        <w:rPr>
          <w:bCs/>
        </w:rPr>
        <w:t xml:space="preserve">to </w:t>
      </w:r>
      <w:r w:rsidRPr="00456CD4">
        <w:rPr>
          <w:bCs/>
        </w:rPr>
        <w:t>switch between alternative courses of action or upscale and downscale investment commitments</w:t>
      </w:r>
      <w:r w:rsidR="00C45AFA">
        <w:rPr>
          <w:bCs/>
        </w:rPr>
        <w:t xml:space="preserve">. </w:t>
      </w:r>
      <w:r w:rsidR="00D120F5">
        <w:t>We address t</w:t>
      </w:r>
      <w:r w:rsidR="00D120F5" w:rsidRPr="00FD2CA7">
        <w:t>he gaps in the current literature in terms of adopting the theories of real options</w:t>
      </w:r>
      <w:r w:rsidR="00D120F5">
        <w:t xml:space="preserve"> in which, </w:t>
      </w:r>
      <w:r w:rsidR="00544EB2">
        <w:t xml:space="preserve">the </w:t>
      </w:r>
      <w:r w:rsidR="00D120F5" w:rsidRPr="00FD2CA7">
        <w:t>real options paradigm</w:t>
      </w:r>
      <w:r w:rsidR="00544EB2">
        <w:t xml:space="preserve"> is</w:t>
      </w:r>
      <w:r w:rsidR="00D120F5" w:rsidRPr="00FD2CA7">
        <w:t xml:space="preserve"> explained as </w:t>
      </w:r>
      <w:r w:rsidR="00544EB2">
        <w:t xml:space="preserve">an </w:t>
      </w:r>
      <w:r w:rsidR="00D120F5" w:rsidRPr="00FD2CA7">
        <w:lastRenderedPageBreak/>
        <w:t xml:space="preserve">alternative strategy by scholars in the strategic </w:t>
      </w:r>
      <w:r w:rsidR="00544EB2">
        <w:t xml:space="preserve">management </w:t>
      </w:r>
      <w:r w:rsidR="00D120F5" w:rsidRPr="00FD2CA7">
        <w:t xml:space="preserve">literature but on the other hand, the real values remain </w:t>
      </w:r>
      <w:r w:rsidR="00544EB2">
        <w:t xml:space="preserve">hidden </w:t>
      </w:r>
      <w:r w:rsidR="00D120F5" w:rsidRPr="00FD2CA7">
        <w:t xml:space="preserve">due to the lack of insight. </w:t>
      </w:r>
      <w:r w:rsidR="00544EB2">
        <w:t xml:space="preserve">Prior </w:t>
      </w:r>
      <w:r w:rsidR="00D120F5" w:rsidRPr="00FD2CA7">
        <w:t xml:space="preserve">empirical work </w:t>
      </w:r>
      <w:r w:rsidR="00544EB2">
        <w:t xml:space="preserve">has </w:t>
      </w:r>
      <w:r w:rsidR="00D120F5" w:rsidRPr="00FD2CA7">
        <w:t xml:space="preserve">mostly </w:t>
      </w:r>
      <w:r w:rsidR="00D120F5">
        <w:t>attempt</w:t>
      </w:r>
      <w:r w:rsidR="00544EB2">
        <w:t>ed</w:t>
      </w:r>
      <w:r w:rsidR="00D120F5">
        <w:t xml:space="preserve"> </w:t>
      </w:r>
      <w:r w:rsidR="00D120F5" w:rsidRPr="00FD2CA7">
        <w:t xml:space="preserve">to confirm a few regression coefficients or causal relationships through statistical analysis. These studies </w:t>
      </w:r>
      <w:r w:rsidR="00544EB2">
        <w:t xml:space="preserve">have been valuable, but the benefits for </w:t>
      </w:r>
      <w:r w:rsidR="00D120F5" w:rsidRPr="00FD2CA7">
        <w:t xml:space="preserve">real options thinking </w:t>
      </w:r>
      <w:r w:rsidR="00544EB2">
        <w:t xml:space="preserve">is limited </w:t>
      </w:r>
      <w:r w:rsidR="00D120F5" w:rsidRPr="00FD2CA7">
        <w:t>because they haven’t explore</w:t>
      </w:r>
      <w:r w:rsidR="00D120F5">
        <w:t>d</w:t>
      </w:r>
      <w:r w:rsidR="00D120F5" w:rsidRPr="00FD2CA7">
        <w:t xml:space="preserve"> what real options are, and how they create value, particularly by predicting into future in respect to entering </w:t>
      </w:r>
      <w:r w:rsidR="00544EB2">
        <w:t xml:space="preserve">future </w:t>
      </w:r>
      <w:r w:rsidR="00D120F5" w:rsidRPr="00FD2CA7">
        <w:t>decisions</w:t>
      </w:r>
      <w:r w:rsidR="00544EB2">
        <w:t xml:space="preserve"> that remain unknown in the current moment of decision</w:t>
      </w:r>
      <w:r w:rsidR="00D120F5" w:rsidRPr="00FD2CA7">
        <w:t>.</w:t>
      </w:r>
      <w:r w:rsidR="00D120F5">
        <w:t xml:space="preserve"> </w:t>
      </w:r>
      <w:r w:rsidR="00657ADD" w:rsidRPr="00FD2CA7">
        <w:t xml:space="preserve">Our framework </w:t>
      </w:r>
      <w:r w:rsidR="00544EB2">
        <w:t xml:space="preserve">is </w:t>
      </w:r>
      <w:r w:rsidR="00657ADD" w:rsidRPr="00FD2CA7">
        <w:t xml:space="preserve">aimed at </w:t>
      </w:r>
      <w:r w:rsidR="00544EB2">
        <w:t xml:space="preserve">providing a framework for structuring </w:t>
      </w:r>
      <w:r w:rsidR="00657ADD" w:rsidRPr="00FD2CA7">
        <w:t xml:space="preserve">future </w:t>
      </w:r>
      <w:r w:rsidR="00544EB2">
        <w:t xml:space="preserve">uncertain </w:t>
      </w:r>
      <w:r w:rsidR="00657ADD" w:rsidRPr="00FD2CA7">
        <w:t xml:space="preserve">choices </w:t>
      </w:r>
      <w:r w:rsidR="00544EB2">
        <w:t xml:space="preserve">rather </w:t>
      </w:r>
      <w:r w:rsidR="00657ADD" w:rsidRPr="00FD2CA7">
        <w:t>than confirm</w:t>
      </w:r>
      <w:r w:rsidR="00C448FC">
        <w:t>ing</w:t>
      </w:r>
      <w:r w:rsidR="00657ADD" w:rsidRPr="00FD2CA7">
        <w:t xml:space="preserve"> past success in respect to any strategies adopted</w:t>
      </w:r>
      <w:r w:rsidR="00544EB2">
        <w:t>. The</w:t>
      </w:r>
      <w:r w:rsidR="00657ADD" w:rsidRPr="00FD2CA7">
        <w:t xml:space="preserve"> valuation</w:t>
      </w:r>
      <w:r w:rsidR="00544EB2">
        <w:t>s</w:t>
      </w:r>
      <w:r w:rsidR="00657ADD" w:rsidRPr="00FD2CA7">
        <w:t xml:space="preserve"> demonstrate how </w:t>
      </w:r>
      <w:r w:rsidR="00657ADD">
        <w:t>ROA</w:t>
      </w:r>
      <w:r w:rsidR="00657ADD" w:rsidRPr="00FD2CA7">
        <w:t xml:space="preserve"> </w:t>
      </w:r>
      <w:r w:rsidR="00657ADD">
        <w:t xml:space="preserve">inform DP </w:t>
      </w:r>
      <w:r w:rsidR="00544EB2">
        <w:t xml:space="preserve">and the connection between </w:t>
      </w:r>
      <w:r w:rsidR="00657ADD" w:rsidRPr="00FD2CA7">
        <w:t>opportunit</w:t>
      </w:r>
      <w:r w:rsidR="00544EB2">
        <w:t>y recognition a</w:t>
      </w:r>
      <w:r w:rsidR="00657ADD" w:rsidRPr="00FD2CA7">
        <w:t xml:space="preserve">nd </w:t>
      </w:r>
      <w:r w:rsidR="00544EB2">
        <w:t xml:space="preserve">uncertainty. </w:t>
      </w:r>
      <w:r w:rsidR="00657ADD" w:rsidRPr="00FD2CA7">
        <w:t xml:space="preserve">The important question is whether organisational </w:t>
      </w:r>
      <w:r w:rsidR="00544EB2">
        <w:t xml:space="preserve">resource/capability </w:t>
      </w:r>
      <w:r w:rsidR="00657ADD" w:rsidRPr="00FD2CA7">
        <w:t xml:space="preserve">endowments are useful not only </w:t>
      </w:r>
      <w:r w:rsidR="00544EB2">
        <w:t xml:space="preserve">for </w:t>
      </w:r>
      <w:r w:rsidR="00657ADD" w:rsidRPr="00FD2CA7">
        <w:t>current</w:t>
      </w:r>
      <w:r w:rsidR="00544EB2">
        <w:t xml:space="preserve"> applications</w:t>
      </w:r>
      <w:r w:rsidR="00657ADD" w:rsidRPr="00FD2CA7">
        <w:t xml:space="preserve">, but also </w:t>
      </w:r>
      <w:r w:rsidR="00544EB2">
        <w:t xml:space="preserve">for the </w:t>
      </w:r>
      <w:r w:rsidR="00657ADD" w:rsidRPr="00FD2CA7">
        <w:t>future, and such endowment</w:t>
      </w:r>
      <w:r w:rsidR="00544EB2">
        <w:t>s</w:t>
      </w:r>
      <w:r w:rsidR="00657ADD" w:rsidRPr="00FD2CA7">
        <w:t xml:space="preserve"> might also </w:t>
      </w:r>
      <w:r w:rsidR="00544EB2">
        <w:t xml:space="preserve">be seen </w:t>
      </w:r>
      <w:r w:rsidR="00657ADD" w:rsidRPr="00FD2CA7">
        <w:t>more generically as the knowledge of the organisation. Complex choice combinations can emerge from a series of system transitions where the capability is the adaptation that enables ex-ante selection, identifying ‘higher-order choices’, or ‘themes’ (Porter, 1996), and subsequent transitions constitute elaborations on these themes as events unfold ex-post (</w:t>
      </w:r>
      <w:proofErr w:type="spellStart"/>
      <w:r w:rsidR="00657ADD" w:rsidRPr="00FD2CA7">
        <w:t>Gavetti</w:t>
      </w:r>
      <w:proofErr w:type="spellEnd"/>
      <w:r w:rsidR="00657ADD" w:rsidRPr="00FD2CA7">
        <w:t xml:space="preserve"> and Levinthal</w:t>
      </w:r>
      <w:r w:rsidR="002F2881">
        <w:t>,</w:t>
      </w:r>
      <w:r w:rsidR="00657ADD" w:rsidRPr="00FD2CA7">
        <w:t xml:space="preserve"> 2000</w:t>
      </w:r>
      <w:r w:rsidR="00C45AFA">
        <w:t>;</w:t>
      </w:r>
      <w:r w:rsidR="00657ADD" w:rsidRPr="00FD2CA7">
        <w:t xml:space="preserve"> Ghemawat and Levinthal</w:t>
      </w:r>
      <w:r w:rsidR="007B0556">
        <w:t>,</w:t>
      </w:r>
      <w:r w:rsidR="00657ADD" w:rsidRPr="00FD2CA7">
        <w:t xml:space="preserve"> 2002).</w:t>
      </w:r>
      <w:r w:rsidR="00DF552C">
        <w:t xml:space="preserve"> </w:t>
      </w:r>
    </w:p>
    <w:p w14:paraId="0B8F7474" w14:textId="77777777" w:rsidR="00B3612A" w:rsidRPr="006D4BE2" w:rsidRDefault="001C0C4A" w:rsidP="009D468A">
      <w:pPr>
        <w:spacing w:before="240" w:after="120" w:line="480" w:lineRule="auto"/>
        <w:jc w:val="both"/>
        <w:rPr>
          <w:b/>
          <w:bCs/>
        </w:rPr>
      </w:pPr>
      <w:r w:rsidRPr="001C0C4A">
        <w:rPr>
          <w:b/>
          <w:bCs/>
        </w:rPr>
        <w:t xml:space="preserve">References </w:t>
      </w:r>
    </w:p>
    <w:p w14:paraId="1973430F" w14:textId="77777777" w:rsidR="00B3612A" w:rsidRPr="00B3612A" w:rsidRDefault="00B3612A" w:rsidP="009D468A">
      <w:pPr>
        <w:spacing w:line="480" w:lineRule="auto"/>
        <w:ind w:left="284" w:hanging="284"/>
        <w:contextualSpacing/>
      </w:pPr>
      <w:proofErr w:type="spellStart"/>
      <w:r w:rsidRPr="00B3612A">
        <w:t>Baldenius</w:t>
      </w:r>
      <w:proofErr w:type="spellEnd"/>
      <w:r w:rsidRPr="00B3612A">
        <w:t xml:space="preserve">, Tim, Alexander A. </w:t>
      </w:r>
      <w:proofErr w:type="spellStart"/>
      <w:r w:rsidRPr="00B3612A">
        <w:t>Nezlobin</w:t>
      </w:r>
      <w:proofErr w:type="spellEnd"/>
      <w:r w:rsidRPr="00B3612A">
        <w:t xml:space="preserve">, and Igor </w:t>
      </w:r>
      <w:proofErr w:type="spellStart"/>
      <w:r w:rsidRPr="00B3612A">
        <w:t>Vaysman</w:t>
      </w:r>
      <w:proofErr w:type="spellEnd"/>
      <w:r w:rsidRPr="00B3612A">
        <w:t>. 2016. “Managerial Performance Evaluation and Real Options.” The Accounting Review, 91(3):741-766.</w:t>
      </w:r>
    </w:p>
    <w:p w14:paraId="75E063C6" w14:textId="70374341" w:rsidR="00B3612A" w:rsidRPr="00B3612A" w:rsidRDefault="00B3612A" w:rsidP="009D468A">
      <w:pPr>
        <w:spacing w:line="480" w:lineRule="auto"/>
        <w:ind w:left="284" w:hanging="284"/>
        <w:contextualSpacing/>
      </w:pPr>
      <w:proofErr w:type="spellStart"/>
      <w:r w:rsidRPr="00B3612A">
        <w:t>Baraniuk</w:t>
      </w:r>
      <w:proofErr w:type="spellEnd"/>
      <w:r w:rsidRPr="00B3612A">
        <w:t xml:space="preserve">, C. (2021). </w:t>
      </w:r>
      <w:r w:rsidR="0066106F">
        <w:t>COVID</w:t>
      </w:r>
      <w:r w:rsidRPr="00B3612A">
        <w:t xml:space="preserve">-19: How the UK vaccine rollout delivered success, so far. </w:t>
      </w:r>
      <w:r w:rsidRPr="00B3612A">
        <w:rPr>
          <w:i/>
          <w:iCs/>
        </w:rPr>
        <w:t>BMJ</w:t>
      </w:r>
      <w:r w:rsidRPr="00B3612A">
        <w:t xml:space="preserve"> 2021;</w:t>
      </w:r>
      <w:r w:rsidR="006413C5" w:rsidRPr="00B3612A">
        <w:t>372: n</w:t>
      </w:r>
      <w:r w:rsidRPr="00B3612A">
        <w:t xml:space="preserve">421 </w:t>
      </w:r>
      <w:r w:rsidRPr="0078131F">
        <w:t>http://dx.doi.org/10.1136/bmj.n421</w:t>
      </w:r>
      <w:r w:rsidRPr="00B3612A">
        <w:t>.</w:t>
      </w:r>
    </w:p>
    <w:p w14:paraId="3C608E27" w14:textId="77777777" w:rsidR="00A10B78" w:rsidRPr="00A10B78" w:rsidRDefault="00A10B78" w:rsidP="009D468A">
      <w:pPr>
        <w:spacing w:line="480" w:lineRule="auto"/>
        <w:ind w:left="284" w:hanging="284"/>
        <w:rPr>
          <w:bCs/>
          <w:color w:val="000000" w:themeColor="text1"/>
        </w:rPr>
      </w:pPr>
      <w:proofErr w:type="spellStart"/>
      <w:r w:rsidRPr="00A10B78">
        <w:rPr>
          <w:bCs/>
          <w:color w:val="000000" w:themeColor="text1"/>
        </w:rPr>
        <w:t>Bergstrand</w:t>
      </w:r>
      <w:proofErr w:type="spellEnd"/>
      <w:r w:rsidRPr="00A10B78">
        <w:rPr>
          <w:bCs/>
          <w:color w:val="000000" w:themeColor="text1"/>
        </w:rPr>
        <w:t xml:space="preserve">, J. H. (1985). The Gravity equation in international trade: Some micro-economic foundations and empirical evidence, </w:t>
      </w:r>
      <w:r w:rsidRPr="00A10B78">
        <w:rPr>
          <w:bCs/>
          <w:i/>
          <w:iCs/>
          <w:color w:val="000000" w:themeColor="text1"/>
        </w:rPr>
        <w:t>Review of Economics and Statistic</w:t>
      </w:r>
      <w:r w:rsidRPr="00A10B78">
        <w:rPr>
          <w:bCs/>
          <w:color w:val="000000" w:themeColor="text1"/>
        </w:rPr>
        <w:t xml:space="preserve">, 67, 474- 481. </w:t>
      </w:r>
    </w:p>
    <w:p w14:paraId="5F3A454F" w14:textId="77777777" w:rsidR="00B3612A" w:rsidRPr="00B3612A" w:rsidRDefault="00B3612A" w:rsidP="009D468A">
      <w:pPr>
        <w:pStyle w:val="NormalWeb"/>
        <w:spacing w:before="0" w:beforeAutospacing="0" w:after="0" w:afterAutospacing="0" w:line="480" w:lineRule="auto"/>
        <w:ind w:left="284" w:hanging="284"/>
      </w:pPr>
      <w:proofErr w:type="spellStart"/>
      <w:r w:rsidRPr="002D0E20">
        <w:rPr>
          <w:lang w:val="nb-NO"/>
        </w:rPr>
        <w:t>Brandao</w:t>
      </w:r>
      <w:proofErr w:type="spellEnd"/>
      <w:r w:rsidRPr="002D0E20">
        <w:rPr>
          <w:lang w:val="nb-NO"/>
        </w:rPr>
        <w:t xml:space="preserve">, L. E., J. S. Dyer, W. J. </w:t>
      </w:r>
      <w:proofErr w:type="spellStart"/>
      <w:r w:rsidRPr="002D0E20">
        <w:rPr>
          <w:lang w:val="nb-NO"/>
        </w:rPr>
        <w:t>Hahn</w:t>
      </w:r>
      <w:proofErr w:type="spellEnd"/>
      <w:r w:rsidRPr="002D0E20">
        <w:rPr>
          <w:lang w:val="nb-NO"/>
        </w:rPr>
        <w:t xml:space="preserve">. 2012. </w:t>
      </w:r>
      <w:r w:rsidRPr="00B3612A">
        <w:t xml:space="preserve">Volatility estimation for stochastic project value models. </w:t>
      </w:r>
      <w:r w:rsidRPr="0056605E">
        <w:rPr>
          <w:i/>
          <w:iCs/>
        </w:rPr>
        <w:t xml:space="preserve">Eur. J. </w:t>
      </w:r>
      <w:proofErr w:type="spellStart"/>
      <w:r w:rsidRPr="0056605E">
        <w:rPr>
          <w:i/>
          <w:iCs/>
        </w:rPr>
        <w:t>Oper</w:t>
      </w:r>
      <w:proofErr w:type="spellEnd"/>
      <w:r w:rsidRPr="0056605E">
        <w:rPr>
          <w:i/>
          <w:iCs/>
        </w:rPr>
        <w:t>. Res</w:t>
      </w:r>
      <w:r w:rsidRPr="00B3612A">
        <w:t xml:space="preserve">. 220: 642–648. </w:t>
      </w:r>
    </w:p>
    <w:p w14:paraId="5EEABD78" w14:textId="131C15DE" w:rsidR="000620BE" w:rsidRDefault="00EC6E66" w:rsidP="009D468A">
      <w:pPr>
        <w:spacing w:line="480" w:lineRule="auto"/>
        <w:ind w:left="284" w:hanging="284"/>
        <w:rPr>
          <w:bCs/>
          <w:color w:val="000000" w:themeColor="text1"/>
        </w:rPr>
      </w:pPr>
      <w:proofErr w:type="spellStart"/>
      <w:r w:rsidRPr="00EC6E66">
        <w:rPr>
          <w:bCs/>
          <w:color w:val="000000" w:themeColor="text1"/>
        </w:rPr>
        <w:lastRenderedPageBreak/>
        <w:t>Burggraef</w:t>
      </w:r>
      <w:proofErr w:type="spellEnd"/>
      <w:r w:rsidRPr="00EC6E66">
        <w:rPr>
          <w:bCs/>
          <w:color w:val="000000" w:themeColor="text1"/>
        </w:rPr>
        <w:t xml:space="preserve">, P., Wagner, J., </w:t>
      </w:r>
      <w:proofErr w:type="spellStart"/>
      <w:r w:rsidRPr="00EC6E66">
        <w:rPr>
          <w:bCs/>
          <w:color w:val="000000" w:themeColor="text1"/>
        </w:rPr>
        <w:t>Dannapfel</w:t>
      </w:r>
      <w:proofErr w:type="spellEnd"/>
      <w:r w:rsidRPr="00EC6E66">
        <w:rPr>
          <w:bCs/>
          <w:color w:val="000000" w:themeColor="text1"/>
        </w:rPr>
        <w:t xml:space="preserve">, M., </w:t>
      </w:r>
      <w:proofErr w:type="spellStart"/>
      <w:r w:rsidRPr="00EC6E66">
        <w:rPr>
          <w:bCs/>
          <w:color w:val="000000" w:themeColor="text1"/>
        </w:rPr>
        <w:t>Vierschilling</w:t>
      </w:r>
      <w:proofErr w:type="spellEnd"/>
      <w:r w:rsidRPr="00EC6E66">
        <w:rPr>
          <w:bCs/>
          <w:color w:val="000000" w:themeColor="text1"/>
        </w:rPr>
        <w:t xml:space="preserve">, S. P. 2018. Simulating the benefit of disruption prevention in assembly. </w:t>
      </w:r>
      <w:r w:rsidRPr="00AE6602">
        <w:rPr>
          <w:bCs/>
          <w:i/>
          <w:iCs/>
          <w:color w:val="000000" w:themeColor="text1"/>
        </w:rPr>
        <w:t>Journal of Modelling in Management</w:t>
      </w:r>
      <w:r w:rsidRPr="00EC6E66">
        <w:rPr>
          <w:bCs/>
          <w:color w:val="000000" w:themeColor="text1"/>
        </w:rPr>
        <w:t>, pp. 214–231.</w:t>
      </w:r>
    </w:p>
    <w:p w14:paraId="5981CB0E" w14:textId="1589B4D3" w:rsidR="00A10B78" w:rsidRDefault="00A10B78" w:rsidP="009D468A">
      <w:pPr>
        <w:spacing w:line="480" w:lineRule="auto"/>
        <w:ind w:left="284" w:hanging="284"/>
        <w:rPr>
          <w:bCs/>
          <w:color w:val="000000" w:themeColor="text1"/>
        </w:rPr>
      </w:pPr>
      <w:r w:rsidRPr="00A10B78">
        <w:rPr>
          <w:bCs/>
          <w:color w:val="000000" w:themeColor="text1"/>
        </w:rPr>
        <w:t xml:space="preserve">Chaney, T. (2018). The gravity equation in international trade: An explanation. </w:t>
      </w:r>
      <w:r w:rsidRPr="00A10B78">
        <w:rPr>
          <w:bCs/>
          <w:i/>
          <w:iCs/>
          <w:color w:val="000000" w:themeColor="text1"/>
        </w:rPr>
        <w:t>Journal of Political Economy</w:t>
      </w:r>
      <w:r w:rsidRPr="00A10B78">
        <w:rPr>
          <w:bCs/>
          <w:color w:val="000000" w:themeColor="text1"/>
        </w:rPr>
        <w:t xml:space="preserve">, 126 (1), 150-177. </w:t>
      </w:r>
    </w:p>
    <w:p w14:paraId="6357AC61" w14:textId="77777777" w:rsidR="00B3612A" w:rsidRPr="00B3612A" w:rsidRDefault="00B3612A" w:rsidP="009D468A">
      <w:pPr>
        <w:spacing w:line="480" w:lineRule="auto"/>
        <w:ind w:left="284" w:hanging="284"/>
        <w:rPr>
          <w:bCs/>
          <w:color w:val="000000" w:themeColor="text1"/>
        </w:rPr>
      </w:pPr>
      <w:proofErr w:type="spellStart"/>
      <w:r w:rsidRPr="00B3612A">
        <w:rPr>
          <w:bCs/>
          <w:color w:val="000000" w:themeColor="text1"/>
        </w:rPr>
        <w:t>Craighead</w:t>
      </w:r>
      <w:proofErr w:type="spellEnd"/>
      <w:r w:rsidRPr="00B3612A">
        <w:rPr>
          <w:bCs/>
          <w:color w:val="000000" w:themeColor="text1"/>
        </w:rPr>
        <w:t xml:space="preserve">, C. W., </w:t>
      </w:r>
      <w:proofErr w:type="spellStart"/>
      <w:r w:rsidRPr="00B3612A">
        <w:rPr>
          <w:bCs/>
          <w:color w:val="000000" w:themeColor="text1"/>
        </w:rPr>
        <w:t>Ketchen</w:t>
      </w:r>
      <w:proofErr w:type="spellEnd"/>
      <w:r w:rsidRPr="00B3612A">
        <w:rPr>
          <w:bCs/>
          <w:color w:val="000000" w:themeColor="text1"/>
        </w:rPr>
        <w:t xml:space="preserve"> Jr, D. J., Darby, J. L. (2020). Pandemics and Supply Chain Management Research: Toward a Theoretical Toolbox. </w:t>
      </w:r>
      <w:r w:rsidRPr="00B3612A">
        <w:rPr>
          <w:bCs/>
          <w:i/>
          <w:iCs/>
          <w:color w:val="000000" w:themeColor="text1"/>
        </w:rPr>
        <w:t>Decision Sciences</w:t>
      </w:r>
      <w:r w:rsidRPr="00B3612A">
        <w:rPr>
          <w:bCs/>
          <w:color w:val="000000" w:themeColor="text1"/>
        </w:rPr>
        <w:t xml:space="preserve">, 51 (4). 833-866. </w:t>
      </w:r>
    </w:p>
    <w:p w14:paraId="5B961DC9" w14:textId="229D4A89" w:rsidR="000620BE" w:rsidRPr="00B3612A" w:rsidRDefault="00B3612A" w:rsidP="009D468A">
      <w:pPr>
        <w:spacing w:line="480" w:lineRule="auto"/>
        <w:ind w:left="284" w:hanging="284"/>
      </w:pPr>
      <w:proofErr w:type="spellStart"/>
      <w:r w:rsidRPr="00B3612A">
        <w:t>Delios</w:t>
      </w:r>
      <w:proofErr w:type="spellEnd"/>
      <w:r w:rsidRPr="00B3612A">
        <w:t xml:space="preserve">, A., </w:t>
      </w:r>
      <w:proofErr w:type="spellStart"/>
      <w:r w:rsidRPr="00B3612A">
        <w:t>Perchthold</w:t>
      </w:r>
      <w:proofErr w:type="spellEnd"/>
      <w:r w:rsidRPr="00B3612A">
        <w:t xml:space="preserve">, G., Capri, A. 2021. Cohesion, </w:t>
      </w:r>
      <w:r w:rsidR="0066106F">
        <w:t>COVID</w:t>
      </w:r>
      <w:r w:rsidRPr="00B3612A">
        <w:t>-</w:t>
      </w:r>
      <w:proofErr w:type="gramStart"/>
      <w:r w:rsidRPr="00B3612A">
        <w:t>19</w:t>
      </w:r>
      <w:proofErr w:type="gramEnd"/>
      <w:r w:rsidRPr="00B3612A">
        <w:t xml:space="preserve"> and contemporary challenges to globali</w:t>
      </w:r>
      <w:r w:rsidR="006F1E41">
        <w:t>s</w:t>
      </w:r>
      <w:r w:rsidRPr="00B3612A">
        <w:t xml:space="preserve">ation. </w:t>
      </w:r>
      <w:r w:rsidRPr="00B3612A">
        <w:rPr>
          <w:i/>
          <w:iCs/>
        </w:rPr>
        <w:t>Journal of World Business</w:t>
      </w:r>
      <w:r w:rsidRPr="00B3612A">
        <w:t>, 56: 101-109.</w:t>
      </w:r>
    </w:p>
    <w:p w14:paraId="0524AAE2" w14:textId="377FA5DD" w:rsidR="00711005" w:rsidRDefault="00711005" w:rsidP="00AE6602">
      <w:pPr>
        <w:spacing w:line="480" w:lineRule="auto"/>
        <w:ind w:left="284" w:hanging="284"/>
      </w:pPr>
      <w:r>
        <w:t xml:space="preserve">Dixit A. K., and </w:t>
      </w:r>
      <w:proofErr w:type="spellStart"/>
      <w:r>
        <w:t>Pindyck</w:t>
      </w:r>
      <w:proofErr w:type="spellEnd"/>
      <w:r>
        <w:t xml:space="preserve"> R.S. (1994). </w:t>
      </w:r>
      <w:r w:rsidRPr="00711005">
        <w:rPr>
          <w:i/>
          <w:iCs/>
        </w:rPr>
        <w:t>In-vestment under uncertainty</w:t>
      </w:r>
      <w:r>
        <w:t>. Princeton: Princeton U. Press.</w:t>
      </w:r>
    </w:p>
    <w:p w14:paraId="6ABC6256" w14:textId="77777777" w:rsidR="00B3612A" w:rsidRPr="00B3612A" w:rsidRDefault="00B3612A" w:rsidP="009D468A">
      <w:pPr>
        <w:spacing w:line="480" w:lineRule="auto"/>
        <w:ind w:left="720" w:hanging="720"/>
        <w:jc w:val="both"/>
      </w:pPr>
      <w:r w:rsidRPr="00B3612A">
        <w:t xml:space="preserve">Eisenhardt, K., J. Martin. 2000. Dynamic capabilities: What are they? </w:t>
      </w:r>
      <w:r w:rsidRPr="00B3612A">
        <w:rPr>
          <w:i/>
        </w:rPr>
        <w:t>Strategic Management Journal</w:t>
      </w:r>
      <w:r w:rsidRPr="00B3612A">
        <w:t>. 21: 1105-1122.</w:t>
      </w:r>
    </w:p>
    <w:p w14:paraId="58156CF6" w14:textId="77777777" w:rsidR="00B3612A" w:rsidRPr="00B3612A" w:rsidRDefault="00B3612A" w:rsidP="009D468A">
      <w:pPr>
        <w:spacing w:line="480" w:lineRule="auto"/>
        <w:ind w:left="284" w:hanging="284"/>
      </w:pPr>
      <w:r w:rsidRPr="00B3612A">
        <w:t xml:space="preserve">Fair, Jeanne M., Dennis R. Powell, Rene J. LeClaire, Leslie M. Moore, Michael L. Wilson, Lori R. </w:t>
      </w:r>
      <w:proofErr w:type="spellStart"/>
      <w:r w:rsidRPr="00B3612A">
        <w:t>Dauelsberg</w:t>
      </w:r>
      <w:proofErr w:type="spellEnd"/>
      <w:r w:rsidRPr="00B3612A">
        <w:t xml:space="preserve">, Michael E. Samsa, Sharon M. DeLand, Gary B. Hirsch, and Brian W. Bush. 2012. “Measuring the Uncertainties of Pandemic Influenza.” </w:t>
      </w:r>
      <w:r w:rsidRPr="00B3612A">
        <w:rPr>
          <w:i/>
          <w:iCs/>
        </w:rPr>
        <w:t>International Journal of Risk Assessment and Management,</w:t>
      </w:r>
      <w:r w:rsidRPr="00B3612A">
        <w:t xml:space="preserve"> 16(1):1-27. </w:t>
      </w:r>
    </w:p>
    <w:p w14:paraId="4901EC8A" w14:textId="77777777" w:rsidR="00B3612A" w:rsidRPr="00B3612A" w:rsidRDefault="00B3612A" w:rsidP="009D468A">
      <w:pPr>
        <w:spacing w:line="480" w:lineRule="auto"/>
        <w:ind w:left="284" w:hanging="284"/>
        <w:rPr>
          <w:bCs/>
          <w:color w:val="000000" w:themeColor="text1"/>
        </w:rPr>
      </w:pPr>
      <w:proofErr w:type="spellStart"/>
      <w:r w:rsidRPr="00B3612A">
        <w:t>Freudenreich</w:t>
      </w:r>
      <w:proofErr w:type="spellEnd"/>
      <w:r w:rsidRPr="00B3612A">
        <w:t xml:space="preserve">, B., </w:t>
      </w:r>
      <w:proofErr w:type="spellStart"/>
      <w:r w:rsidRPr="00B3612A">
        <w:t>Ludeke</w:t>
      </w:r>
      <w:proofErr w:type="spellEnd"/>
      <w:r w:rsidRPr="00B3612A">
        <w:t xml:space="preserve">‑Freund, F., </w:t>
      </w:r>
      <w:proofErr w:type="spellStart"/>
      <w:r w:rsidRPr="00B3612A">
        <w:t>Schaltegger</w:t>
      </w:r>
      <w:proofErr w:type="spellEnd"/>
      <w:r w:rsidRPr="00B3612A">
        <w:t xml:space="preserve">, S. 2020. A Stakeholder Theory Perspective on Business Models: Value Creation for Sustainability. </w:t>
      </w:r>
      <w:r w:rsidRPr="00B3612A">
        <w:rPr>
          <w:i/>
          <w:iCs/>
        </w:rPr>
        <w:t>Journal of Business Ethics</w:t>
      </w:r>
      <w:r w:rsidRPr="00B3612A">
        <w:t>,166: 3–18.</w:t>
      </w:r>
    </w:p>
    <w:p w14:paraId="69DC356F" w14:textId="77777777" w:rsidR="00B3612A" w:rsidRPr="00B3612A" w:rsidRDefault="00B3612A" w:rsidP="009D468A">
      <w:pPr>
        <w:spacing w:line="480" w:lineRule="auto"/>
        <w:ind w:left="284" w:hanging="284"/>
        <w:rPr>
          <w:color w:val="000000" w:themeColor="text1"/>
        </w:rPr>
      </w:pPr>
      <w:proofErr w:type="spellStart"/>
      <w:r w:rsidRPr="00B3612A">
        <w:rPr>
          <w:bCs/>
          <w:color w:val="000000" w:themeColor="text1"/>
        </w:rPr>
        <w:t>Gallopín</w:t>
      </w:r>
      <w:proofErr w:type="spellEnd"/>
      <w:r w:rsidRPr="00B3612A">
        <w:rPr>
          <w:bCs/>
          <w:color w:val="000000" w:themeColor="text1"/>
        </w:rPr>
        <w:t xml:space="preserve">, G. C. (2006). Linkages between vulnerability, resilience, and adaptive capacity. </w:t>
      </w:r>
      <w:r w:rsidRPr="00B3612A">
        <w:rPr>
          <w:bCs/>
          <w:i/>
          <w:iCs/>
          <w:color w:val="000000" w:themeColor="text1"/>
        </w:rPr>
        <w:t>Global Environmental Change,</w:t>
      </w:r>
      <w:r w:rsidRPr="00B3612A">
        <w:rPr>
          <w:bCs/>
          <w:color w:val="000000" w:themeColor="text1"/>
        </w:rPr>
        <w:t xml:space="preserve"> 16 (3), 293-303.</w:t>
      </w:r>
    </w:p>
    <w:p w14:paraId="3FFAD238" w14:textId="77777777" w:rsidR="00B3612A" w:rsidRPr="0078131F" w:rsidRDefault="00B3612A" w:rsidP="009D468A">
      <w:pPr>
        <w:spacing w:line="480" w:lineRule="auto"/>
        <w:ind w:left="284" w:hanging="284"/>
        <w:rPr>
          <w:color w:val="000000" w:themeColor="text1"/>
        </w:rPr>
      </w:pPr>
      <w:r w:rsidRPr="00B3612A">
        <w:rPr>
          <w:color w:val="000000" w:themeColor="text1"/>
        </w:rPr>
        <w:t xml:space="preserve">Gov.UK (2020). </w:t>
      </w:r>
      <w:hyperlink r:id="rId112" w:history="1">
        <w:r w:rsidRPr="0078131F">
          <w:rPr>
            <w:rStyle w:val="Hyperlink"/>
            <w:color w:val="000000" w:themeColor="text1"/>
            <w:u w:val="none"/>
          </w:rPr>
          <w:t>https://www.gov.uk/government/publications/wuhan-novel-coronavirus-background-information/wuhan-novel-coronavirus-epidemiology-virology-and-clinical-features</w:t>
        </w:r>
      </w:hyperlink>
      <w:r w:rsidRPr="0078131F">
        <w:rPr>
          <w:rStyle w:val="Hyperlink"/>
          <w:color w:val="000000" w:themeColor="text1"/>
          <w:u w:val="none"/>
        </w:rPr>
        <w:t>.</w:t>
      </w:r>
    </w:p>
    <w:p w14:paraId="145F8198" w14:textId="783F8F8A" w:rsidR="00B3612A" w:rsidRPr="00B3612A" w:rsidRDefault="00B3612A" w:rsidP="009D468A">
      <w:pPr>
        <w:spacing w:line="480" w:lineRule="auto"/>
        <w:ind w:left="284" w:hanging="284"/>
        <w:rPr>
          <w:bCs/>
          <w:color w:val="000000" w:themeColor="text1"/>
        </w:rPr>
      </w:pPr>
      <w:proofErr w:type="spellStart"/>
      <w:r w:rsidRPr="002D0E20">
        <w:rPr>
          <w:lang w:val="nb-NO"/>
        </w:rPr>
        <w:lastRenderedPageBreak/>
        <w:t>Harikae</w:t>
      </w:r>
      <w:proofErr w:type="spellEnd"/>
      <w:r w:rsidRPr="002D0E20">
        <w:rPr>
          <w:lang w:val="nb-NO"/>
        </w:rPr>
        <w:t xml:space="preserve">, S., Dyer J, &amp; Wang, T. (2020).  </w:t>
      </w:r>
      <w:r w:rsidRPr="00B3612A">
        <w:rPr>
          <w:bCs/>
          <w:color w:val="000000" w:themeColor="text1"/>
        </w:rPr>
        <w:t xml:space="preserve">Valuing Real Options in the Volatile Real World. </w:t>
      </w:r>
      <w:r w:rsidRPr="00B3612A">
        <w:rPr>
          <w:bCs/>
          <w:i/>
          <w:iCs/>
          <w:color w:val="000000" w:themeColor="text1"/>
        </w:rPr>
        <w:t>Production and Operations Management,</w:t>
      </w:r>
      <w:r w:rsidR="008540E1">
        <w:rPr>
          <w:bCs/>
          <w:i/>
          <w:iCs/>
          <w:color w:val="000000" w:themeColor="text1"/>
        </w:rPr>
        <w:t xml:space="preserve"> </w:t>
      </w:r>
      <w:r w:rsidR="008540E1" w:rsidRPr="0078131F">
        <w:rPr>
          <w:bCs/>
        </w:rPr>
        <w:t>https://doi.org/10.1111/poms.13261</w:t>
      </w:r>
      <w:r w:rsidRPr="00B3612A">
        <w:rPr>
          <w:bCs/>
          <w:color w:val="000000" w:themeColor="text1"/>
        </w:rPr>
        <w:t>.</w:t>
      </w:r>
    </w:p>
    <w:p w14:paraId="2EFB5021" w14:textId="77777777" w:rsidR="00B3612A" w:rsidRPr="00B3612A" w:rsidRDefault="00B3612A" w:rsidP="009D468A">
      <w:pPr>
        <w:spacing w:line="480" w:lineRule="auto"/>
        <w:ind w:left="284" w:hanging="284"/>
        <w:rPr>
          <w:color w:val="000000" w:themeColor="text1"/>
        </w:rPr>
      </w:pPr>
      <w:proofErr w:type="spellStart"/>
      <w:r w:rsidRPr="00B3612A">
        <w:rPr>
          <w:rFonts w:eastAsia="SimSun"/>
          <w:color w:val="000000" w:themeColor="text1"/>
        </w:rPr>
        <w:t>Holling</w:t>
      </w:r>
      <w:proofErr w:type="spellEnd"/>
      <w:r w:rsidRPr="00B3612A">
        <w:rPr>
          <w:rFonts w:eastAsia="SimSun"/>
          <w:color w:val="000000" w:themeColor="text1"/>
        </w:rPr>
        <w:t xml:space="preserve">, C. S. (1973). “Resilience and stability of ecological systems”. </w:t>
      </w:r>
      <w:r w:rsidRPr="00B3612A">
        <w:rPr>
          <w:rFonts w:eastAsia="SimSun"/>
          <w:i/>
          <w:color w:val="000000" w:themeColor="text1"/>
        </w:rPr>
        <w:t>Annual Review of Ecology and Systematics</w:t>
      </w:r>
      <w:r w:rsidRPr="00B3612A">
        <w:rPr>
          <w:rFonts w:eastAsia="SimSun"/>
          <w:color w:val="000000" w:themeColor="text1"/>
        </w:rPr>
        <w:t>, 4, 1-23.</w:t>
      </w:r>
    </w:p>
    <w:p w14:paraId="7A3DC665" w14:textId="77777777" w:rsidR="00B3612A" w:rsidRPr="00B3612A" w:rsidRDefault="00B3612A" w:rsidP="009D468A">
      <w:pPr>
        <w:spacing w:line="480" w:lineRule="auto"/>
        <w:ind w:left="284" w:hanging="284"/>
      </w:pPr>
      <w:r w:rsidRPr="00B3612A">
        <w:t xml:space="preserve">IFG (2021a). Timeline of UK coronavirus lockdowns, March 2020 to March 2021. </w:t>
      </w:r>
      <w:r w:rsidRPr="00B3612A">
        <w:rPr>
          <w:i/>
          <w:iCs/>
        </w:rPr>
        <w:t xml:space="preserve">Institute for Government </w:t>
      </w:r>
      <w:r w:rsidRPr="00B3612A">
        <w:t>analysis</w:t>
      </w:r>
      <w:r w:rsidRPr="00B3612A">
        <w:rPr>
          <w:i/>
          <w:iCs/>
        </w:rPr>
        <w:t xml:space="preserve">. </w:t>
      </w:r>
      <w:r w:rsidRPr="00B3612A">
        <w:t>Nov. 2021.</w:t>
      </w:r>
    </w:p>
    <w:p w14:paraId="2EF10AAD" w14:textId="77777777" w:rsidR="00B3612A" w:rsidRPr="00B3612A" w:rsidRDefault="00B3612A" w:rsidP="009D468A">
      <w:pPr>
        <w:spacing w:line="480" w:lineRule="auto"/>
        <w:ind w:left="284" w:hanging="284"/>
        <w:rPr>
          <w:rFonts w:eastAsiaTheme="minorHAnsi"/>
          <w:bCs/>
          <w:color w:val="000000" w:themeColor="text1"/>
        </w:rPr>
      </w:pPr>
      <w:r w:rsidRPr="00B3612A">
        <w:t xml:space="preserve">IFG (2021b). </w:t>
      </w:r>
      <w:r w:rsidRPr="00B3612A">
        <w:rPr>
          <w:bCs/>
          <w:color w:val="000000" w:themeColor="text1"/>
        </w:rPr>
        <w:t>Coronavirus vaccine rollout.</w:t>
      </w:r>
      <w:r w:rsidRPr="00B3612A">
        <w:t xml:space="preserve"> </w:t>
      </w:r>
      <w:r w:rsidRPr="00B3612A">
        <w:rPr>
          <w:bCs/>
          <w:i/>
          <w:iCs/>
          <w:color w:val="000000" w:themeColor="text1"/>
        </w:rPr>
        <w:t>The Institute for Government</w:t>
      </w:r>
      <w:r w:rsidRPr="00B3612A">
        <w:rPr>
          <w:bCs/>
          <w:color w:val="000000" w:themeColor="text1"/>
        </w:rPr>
        <w:t>. https://www.instituteforgovernment.org.uk.</w:t>
      </w:r>
    </w:p>
    <w:p w14:paraId="70335D98" w14:textId="77777777" w:rsidR="00B3612A" w:rsidRPr="00B3612A" w:rsidRDefault="00B3612A" w:rsidP="009D468A">
      <w:pPr>
        <w:spacing w:line="480" w:lineRule="auto"/>
        <w:ind w:left="284" w:hanging="284"/>
      </w:pPr>
      <w:r w:rsidRPr="00B3612A">
        <w:t xml:space="preserve">Johnston, Derek M., Stephen E. </w:t>
      </w:r>
      <w:proofErr w:type="spellStart"/>
      <w:r w:rsidRPr="00B3612A">
        <w:t>Sefcik</w:t>
      </w:r>
      <w:proofErr w:type="spellEnd"/>
      <w:r w:rsidRPr="00B3612A">
        <w:t xml:space="preserve">, and Naomi S. </w:t>
      </w:r>
      <w:proofErr w:type="spellStart"/>
      <w:r w:rsidRPr="00B3612A">
        <w:t>Soderstrom</w:t>
      </w:r>
      <w:proofErr w:type="spellEnd"/>
      <w:r w:rsidRPr="00B3612A">
        <w:t xml:space="preserve">. 2008. “The Value Relevance of Greenhouse Gas Emissions Allowances: An Exploratory Study in the Related United States SO2 Market.” </w:t>
      </w:r>
      <w:r w:rsidRPr="00B3612A">
        <w:rPr>
          <w:i/>
          <w:iCs/>
        </w:rPr>
        <w:t>European Accounting Review</w:t>
      </w:r>
      <w:r w:rsidRPr="00B3612A">
        <w:t xml:space="preserve">, 17(4):747-764. </w:t>
      </w:r>
    </w:p>
    <w:p w14:paraId="7D9A8CBF" w14:textId="3D9E676D" w:rsidR="00B3612A" w:rsidRPr="00B3612A" w:rsidRDefault="00B3612A" w:rsidP="009D468A">
      <w:pPr>
        <w:spacing w:line="480" w:lineRule="auto"/>
        <w:ind w:left="720" w:hanging="720"/>
        <w:jc w:val="both"/>
        <w:rPr>
          <w:lang w:val="fr-FR"/>
        </w:rPr>
      </w:pPr>
      <w:r w:rsidRPr="00B3612A">
        <w:t>Levinthal, D</w:t>
      </w:r>
      <w:r w:rsidR="006F1E41">
        <w:t>A</w:t>
      </w:r>
      <w:r w:rsidRPr="00B3612A">
        <w:t xml:space="preserve"> 1997. Adaptation on rugged landscapes. </w:t>
      </w:r>
      <w:r w:rsidRPr="00B3612A">
        <w:rPr>
          <w:i/>
          <w:lang w:val="fr-FR"/>
        </w:rPr>
        <w:t xml:space="preserve">Management </w:t>
      </w:r>
      <w:proofErr w:type="spellStart"/>
      <w:r w:rsidRPr="00B3612A">
        <w:rPr>
          <w:i/>
          <w:lang w:val="fr-FR"/>
        </w:rPr>
        <w:t>Sci</w:t>
      </w:r>
      <w:proofErr w:type="spellEnd"/>
      <w:r w:rsidRPr="00B3612A">
        <w:rPr>
          <w:i/>
          <w:lang w:val="fr-FR"/>
        </w:rPr>
        <w:t>.</w:t>
      </w:r>
      <w:r w:rsidRPr="00B3612A">
        <w:rPr>
          <w:lang w:val="fr-FR"/>
        </w:rPr>
        <w:t xml:space="preserve"> 43(7) 934 950.</w:t>
      </w:r>
    </w:p>
    <w:p w14:paraId="2D167765" w14:textId="05AEC429" w:rsidR="00B3612A" w:rsidRPr="00B3612A" w:rsidRDefault="00B3612A" w:rsidP="009D468A">
      <w:pPr>
        <w:spacing w:line="480" w:lineRule="auto"/>
        <w:ind w:left="284" w:hanging="284"/>
        <w:rPr>
          <w:color w:val="202122"/>
        </w:rPr>
      </w:pPr>
      <w:r w:rsidRPr="00B3612A">
        <w:rPr>
          <w:color w:val="202122"/>
        </w:rPr>
        <w:t xml:space="preserve">Liu, L., Wang, E.-Z., and Lee, C.-C. (2020). Impact of the </w:t>
      </w:r>
      <w:r w:rsidR="0066106F">
        <w:rPr>
          <w:color w:val="202122"/>
        </w:rPr>
        <w:t>COVID</w:t>
      </w:r>
      <w:r w:rsidRPr="00B3612A">
        <w:rPr>
          <w:color w:val="202122"/>
        </w:rPr>
        <w:t xml:space="preserve">-19 pandemic on the crude oil and stock markets in the US: A time-varying analysis. </w:t>
      </w:r>
      <w:r w:rsidRPr="00B3612A">
        <w:rPr>
          <w:i/>
          <w:iCs/>
          <w:color w:val="202122"/>
        </w:rPr>
        <w:t>Energy Research Letters,</w:t>
      </w:r>
      <w:r w:rsidRPr="00B3612A">
        <w:rPr>
          <w:color w:val="202122"/>
        </w:rPr>
        <w:t xml:space="preserve"> 1(1). </w:t>
      </w:r>
      <w:r w:rsidRPr="0078131F">
        <w:t>https://doi.org/10.46557/001c.13154</w:t>
      </w:r>
    </w:p>
    <w:p w14:paraId="51EF28D8" w14:textId="77777777" w:rsidR="00B3612A" w:rsidRPr="00B3612A" w:rsidRDefault="00B3612A" w:rsidP="009D468A">
      <w:pPr>
        <w:spacing w:line="480" w:lineRule="auto"/>
        <w:ind w:left="284" w:hanging="284"/>
      </w:pPr>
      <w:r w:rsidRPr="00B3612A">
        <w:t xml:space="preserve">McGrath, Rita </w:t>
      </w:r>
      <w:proofErr w:type="gramStart"/>
      <w:r w:rsidRPr="00B3612A">
        <w:t>Gunther</w:t>
      </w:r>
      <w:proofErr w:type="gramEnd"/>
      <w:r w:rsidRPr="00B3612A">
        <w:t xml:space="preserve"> and Atul </w:t>
      </w:r>
      <w:proofErr w:type="spellStart"/>
      <w:r w:rsidRPr="00B3612A">
        <w:t>Nerkar</w:t>
      </w:r>
      <w:proofErr w:type="spellEnd"/>
      <w:r w:rsidRPr="00B3612A">
        <w:t xml:space="preserve">. 2004. “Real Options Reasoning and a New Look at the R&amp;D Investment Strategies of Pharmaceutical Firms.” </w:t>
      </w:r>
      <w:r w:rsidRPr="00B3612A">
        <w:rPr>
          <w:i/>
          <w:iCs/>
        </w:rPr>
        <w:t>Strategic Management Journal,</w:t>
      </w:r>
      <w:r w:rsidRPr="00B3612A">
        <w:t xml:space="preserve"> 25:1–21. </w:t>
      </w:r>
    </w:p>
    <w:p w14:paraId="5EFEC76D" w14:textId="77777777" w:rsidR="00B3612A" w:rsidRPr="00B3612A" w:rsidRDefault="00B3612A" w:rsidP="009D468A">
      <w:pPr>
        <w:spacing w:line="480" w:lineRule="auto"/>
        <w:ind w:left="284" w:hanging="284"/>
        <w:rPr>
          <w:color w:val="202122"/>
        </w:rPr>
      </w:pPr>
      <w:r w:rsidRPr="00B3612A">
        <w:rPr>
          <w:color w:val="202122"/>
        </w:rPr>
        <w:t>Merrill, S. (2009).</w:t>
      </w:r>
      <w:r w:rsidRPr="00B3612A">
        <w:rPr>
          <w:i/>
          <w:iCs/>
          <w:color w:val="202122"/>
        </w:rPr>
        <w:t xml:space="preserve"> Introduction to </w:t>
      </w:r>
      <w:proofErr w:type="spellStart"/>
      <w:r w:rsidRPr="00B3612A">
        <w:rPr>
          <w:i/>
          <w:iCs/>
          <w:color w:val="202122"/>
        </w:rPr>
        <w:t>Syndemics</w:t>
      </w:r>
      <w:proofErr w:type="spellEnd"/>
      <w:r w:rsidRPr="00B3612A">
        <w:rPr>
          <w:i/>
          <w:iCs/>
          <w:color w:val="202122"/>
        </w:rPr>
        <w:t>: A Systems Approach to Public and Community Health.</w:t>
      </w:r>
      <w:r w:rsidRPr="00B3612A">
        <w:rPr>
          <w:color w:val="202122"/>
        </w:rPr>
        <w:t> San Francisco, CA: Jossey-Bass.</w:t>
      </w:r>
    </w:p>
    <w:p w14:paraId="71E62983" w14:textId="77777777" w:rsidR="00B3612A" w:rsidRDefault="00B3612A" w:rsidP="009D468A">
      <w:pPr>
        <w:spacing w:line="480" w:lineRule="auto"/>
        <w:ind w:left="284" w:hanging="284"/>
      </w:pPr>
      <w:r w:rsidRPr="00B3612A">
        <w:t xml:space="preserve">Mun, Johnathan 2006. Real Options Analysis: Tools and Techniques for Valuing Strategic Investments and Decisions. Hoboken, NJ: Wiley, 2nd ed. </w:t>
      </w:r>
    </w:p>
    <w:p w14:paraId="3CBF0453" w14:textId="77777777" w:rsidR="00B3612A" w:rsidRPr="00B3612A" w:rsidRDefault="00B3612A" w:rsidP="009D468A">
      <w:pPr>
        <w:spacing w:line="480" w:lineRule="auto"/>
        <w:ind w:left="720" w:hanging="720"/>
        <w:jc w:val="both"/>
      </w:pPr>
      <w:r w:rsidRPr="00B3612A">
        <w:t xml:space="preserve">Penrose, E.T. 1959. </w:t>
      </w:r>
      <w:r w:rsidRPr="00B3612A">
        <w:rPr>
          <w:i/>
        </w:rPr>
        <w:t>The Theory of the Growth of the Firm.</w:t>
      </w:r>
      <w:r w:rsidRPr="00B3612A">
        <w:t xml:space="preserve"> Wiley, New York.</w:t>
      </w:r>
    </w:p>
    <w:p w14:paraId="0715B621" w14:textId="77777777" w:rsidR="00B3612A" w:rsidRPr="00B3612A" w:rsidRDefault="00B3612A" w:rsidP="009D468A">
      <w:pPr>
        <w:spacing w:line="480" w:lineRule="auto"/>
        <w:ind w:left="284" w:hanging="284"/>
        <w:rPr>
          <w:color w:val="000000" w:themeColor="text1"/>
        </w:rPr>
      </w:pPr>
      <w:r w:rsidRPr="00B3612A">
        <w:rPr>
          <w:rFonts w:eastAsia="SimSun"/>
          <w:color w:val="000000" w:themeColor="text1"/>
        </w:rPr>
        <w:t xml:space="preserve">Pimm, S. L. (1984). “The complexity and stability of ecosystems”. </w:t>
      </w:r>
      <w:r w:rsidRPr="00B3612A">
        <w:rPr>
          <w:rFonts w:eastAsia="SimSun"/>
          <w:i/>
          <w:color w:val="000000" w:themeColor="text1"/>
        </w:rPr>
        <w:t>Nature</w:t>
      </w:r>
      <w:r w:rsidRPr="00B3612A">
        <w:rPr>
          <w:rFonts w:eastAsia="SimSun"/>
          <w:color w:val="000000" w:themeColor="text1"/>
        </w:rPr>
        <w:t>, 307(5949), 321–326.</w:t>
      </w:r>
    </w:p>
    <w:p w14:paraId="66F8B886" w14:textId="77777777" w:rsidR="00B3612A" w:rsidRPr="00B3612A" w:rsidRDefault="00B3612A" w:rsidP="009D468A">
      <w:pPr>
        <w:spacing w:line="480" w:lineRule="auto"/>
        <w:ind w:left="284" w:hanging="284"/>
      </w:pPr>
      <w:proofErr w:type="spellStart"/>
      <w:r w:rsidRPr="00B3612A">
        <w:lastRenderedPageBreak/>
        <w:t>Pirjol</w:t>
      </w:r>
      <w:proofErr w:type="spellEnd"/>
      <w:r w:rsidRPr="00B3612A">
        <w:t xml:space="preserve">, D., L. Zhu. 2016. Discrete sums of geometric Brownian motions, </w:t>
      </w:r>
      <w:proofErr w:type="gramStart"/>
      <w:r w:rsidRPr="00B3612A">
        <w:t>annuities</w:t>
      </w:r>
      <w:proofErr w:type="gramEnd"/>
      <w:r w:rsidRPr="00B3612A">
        <w:t xml:space="preserve"> and Asian options. </w:t>
      </w:r>
      <w:proofErr w:type="spellStart"/>
      <w:r w:rsidRPr="00B3612A">
        <w:t>Insur</w:t>
      </w:r>
      <w:proofErr w:type="spellEnd"/>
      <w:r w:rsidRPr="00B3612A">
        <w:t xml:space="preserve">. Math. Econ. 70: 19–37. </w:t>
      </w:r>
    </w:p>
    <w:p w14:paraId="6ECBD0C8" w14:textId="77777777" w:rsidR="00B3612A" w:rsidRPr="00B3612A" w:rsidRDefault="00B3612A" w:rsidP="009D468A">
      <w:pPr>
        <w:spacing w:line="480" w:lineRule="auto"/>
        <w:ind w:left="720" w:hanging="720"/>
        <w:jc w:val="both"/>
      </w:pPr>
      <w:r w:rsidRPr="00B3612A">
        <w:t xml:space="preserve">Rivkin, J.W. 2001. Reproducing Knowledge: Replication without Imitation at Moderate Complexity. </w:t>
      </w:r>
      <w:r w:rsidRPr="00B3612A">
        <w:rPr>
          <w:i/>
        </w:rPr>
        <w:t>Organization Science</w:t>
      </w:r>
      <w:r w:rsidRPr="00B3612A">
        <w:t>. 12(3): 274-293.</w:t>
      </w:r>
    </w:p>
    <w:p w14:paraId="1C157C46" w14:textId="77777777" w:rsidR="00B3612A" w:rsidRPr="00B3612A" w:rsidRDefault="00B3612A" w:rsidP="009D468A">
      <w:pPr>
        <w:spacing w:line="480" w:lineRule="auto"/>
        <w:ind w:left="720" w:hanging="720"/>
        <w:jc w:val="both"/>
      </w:pPr>
      <w:r w:rsidRPr="00B3612A">
        <w:t xml:space="preserve">Rivkin, J.W., N. </w:t>
      </w:r>
      <w:proofErr w:type="spellStart"/>
      <w:r w:rsidRPr="00B3612A">
        <w:t>Siggelkow</w:t>
      </w:r>
      <w:proofErr w:type="spellEnd"/>
      <w:r w:rsidRPr="00B3612A">
        <w:t xml:space="preserve">. 2007. Patterned Interactions in Complex Systems: Implications for Exploration. </w:t>
      </w:r>
      <w:r w:rsidRPr="00B3612A">
        <w:rPr>
          <w:i/>
        </w:rPr>
        <w:t>Management Science</w:t>
      </w:r>
      <w:r w:rsidRPr="00B3612A">
        <w:t>. 53(7): 1068-1085.</w:t>
      </w:r>
    </w:p>
    <w:p w14:paraId="7F4D4764" w14:textId="77777777" w:rsidR="00B3612A" w:rsidRPr="00B3612A" w:rsidRDefault="00B3612A" w:rsidP="009D468A">
      <w:pPr>
        <w:pStyle w:val="NormalWeb"/>
        <w:spacing w:before="0" w:beforeAutospacing="0" w:after="0" w:afterAutospacing="0" w:line="480" w:lineRule="auto"/>
        <w:ind w:left="284" w:hanging="284"/>
      </w:pPr>
      <w:proofErr w:type="spellStart"/>
      <w:r w:rsidRPr="00B3612A">
        <w:t>Schoemaker</w:t>
      </w:r>
      <w:proofErr w:type="spellEnd"/>
      <w:r w:rsidRPr="00B3612A">
        <w:t xml:space="preserve">, P. J. H., Heaton, S. Teece, D. (2018). Innovation, Dynamic Capabilities, and Leadership. </w:t>
      </w:r>
      <w:r w:rsidRPr="00B3612A">
        <w:rPr>
          <w:i/>
          <w:iCs/>
        </w:rPr>
        <w:t>California Management Review</w:t>
      </w:r>
      <w:r w:rsidRPr="00B3612A">
        <w:t>, 61 (1), 15-42.</w:t>
      </w:r>
    </w:p>
    <w:p w14:paraId="52B8CFD9" w14:textId="77777777" w:rsidR="00B3612A" w:rsidRPr="00B3612A" w:rsidRDefault="00B3612A" w:rsidP="009D468A">
      <w:pPr>
        <w:spacing w:line="480" w:lineRule="auto"/>
        <w:ind w:left="720" w:hanging="720"/>
        <w:jc w:val="both"/>
      </w:pPr>
      <w:proofErr w:type="spellStart"/>
      <w:r w:rsidRPr="00B3612A">
        <w:t>Siggelkow</w:t>
      </w:r>
      <w:proofErr w:type="spellEnd"/>
      <w:r w:rsidRPr="00B3612A">
        <w:t xml:space="preserve">, N. 2001. Change in the presence of fit: The rise, the fall, and the renaissance of Liz Claiborne. </w:t>
      </w:r>
      <w:r w:rsidRPr="00B3612A">
        <w:rPr>
          <w:i/>
        </w:rPr>
        <w:t>Acad. Management J.</w:t>
      </w:r>
      <w:r w:rsidRPr="00B3612A">
        <w:t xml:space="preserve"> 44(4) 838 857.</w:t>
      </w:r>
    </w:p>
    <w:p w14:paraId="170A8FE0" w14:textId="77777777" w:rsidR="00B3612A" w:rsidRPr="00B3612A" w:rsidRDefault="00B3612A" w:rsidP="009D468A">
      <w:pPr>
        <w:spacing w:line="480" w:lineRule="auto"/>
        <w:ind w:left="720" w:hanging="720"/>
        <w:jc w:val="both"/>
      </w:pPr>
      <w:proofErr w:type="spellStart"/>
      <w:r w:rsidRPr="00B3612A">
        <w:rPr>
          <w:color w:val="000000"/>
        </w:rPr>
        <w:t>Tabachnick</w:t>
      </w:r>
      <w:proofErr w:type="spellEnd"/>
      <w:r w:rsidRPr="00B3612A">
        <w:rPr>
          <w:color w:val="000000"/>
        </w:rPr>
        <w:t xml:space="preserve">, B.G., L. S. </w:t>
      </w:r>
      <w:proofErr w:type="spellStart"/>
      <w:r w:rsidRPr="00B3612A">
        <w:rPr>
          <w:color w:val="000000"/>
        </w:rPr>
        <w:t>Fidell</w:t>
      </w:r>
      <w:proofErr w:type="spellEnd"/>
      <w:r w:rsidRPr="00B3612A">
        <w:rPr>
          <w:color w:val="000000"/>
        </w:rPr>
        <w:t>. 1996. Using Multivariate Statistics. Harper Collins: New York.</w:t>
      </w:r>
    </w:p>
    <w:p w14:paraId="0B3E4843" w14:textId="77777777" w:rsidR="00B3612A" w:rsidRPr="00B3612A" w:rsidRDefault="00B3612A" w:rsidP="009D468A">
      <w:pPr>
        <w:spacing w:line="480" w:lineRule="auto"/>
        <w:ind w:left="720" w:hanging="720"/>
        <w:jc w:val="both"/>
      </w:pPr>
      <w:r w:rsidRPr="00B3612A">
        <w:rPr>
          <w:lang w:val="it-IT"/>
        </w:rPr>
        <w:t xml:space="preserve">Teece, D.  J., G. Pisano, A. Shuen. </w:t>
      </w:r>
      <w:r w:rsidRPr="00B3612A">
        <w:t xml:space="preserve">1997. Dynamic capabilities and strategic management. </w:t>
      </w:r>
    </w:p>
    <w:p w14:paraId="6F66FB8B" w14:textId="77777777" w:rsidR="00B3612A" w:rsidRPr="00B3612A" w:rsidRDefault="00B3612A" w:rsidP="009D468A">
      <w:pPr>
        <w:spacing w:line="480" w:lineRule="auto"/>
        <w:ind w:left="284" w:hanging="284"/>
      </w:pPr>
      <w:r w:rsidRPr="00B3612A">
        <w:t xml:space="preserve">Teece, David and </w:t>
      </w:r>
      <w:proofErr w:type="spellStart"/>
      <w:r w:rsidRPr="00B3612A">
        <w:t>Sohvi</w:t>
      </w:r>
      <w:proofErr w:type="spellEnd"/>
      <w:r w:rsidRPr="00B3612A">
        <w:t xml:space="preserve"> </w:t>
      </w:r>
      <w:proofErr w:type="spellStart"/>
      <w:r w:rsidRPr="00B3612A">
        <w:t>Leih</w:t>
      </w:r>
      <w:proofErr w:type="spellEnd"/>
      <w:r w:rsidRPr="00B3612A">
        <w:t xml:space="preserve">. 2016. “Uncertainty, Innovation, and Dynamic Capabilities: An Introduction.” </w:t>
      </w:r>
      <w:r w:rsidRPr="00B3612A">
        <w:rPr>
          <w:i/>
          <w:iCs/>
        </w:rPr>
        <w:t>California Management Review</w:t>
      </w:r>
      <w:r w:rsidRPr="00B3612A">
        <w:t xml:space="preserve">, 58(4):5-12. </w:t>
      </w:r>
    </w:p>
    <w:p w14:paraId="5CCCEF17" w14:textId="77777777" w:rsidR="00B3612A" w:rsidRPr="00B3612A" w:rsidRDefault="00B3612A" w:rsidP="009D468A">
      <w:pPr>
        <w:spacing w:line="480" w:lineRule="auto"/>
        <w:ind w:left="720" w:hanging="720"/>
        <w:jc w:val="both"/>
      </w:pPr>
      <w:proofErr w:type="spellStart"/>
      <w:r w:rsidRPr="00B3612A">
        <w:t>Tregeorgis</w:t>
      </w:r>
      <w:proofErr w:type="spellEnd"/>
      <w:r w:rsidRPr="00B3612A">
        <w:t xml:space="preserve">, L. 1996. </w:t>
      </w:r>
      <w:r w:rsidRPr="00B3612A">
        <w:rPr>
          <w:i/>
        </w:rPr>
        <w:t xml:space="preserve">Real Options – Managerial Flexibility and Strategy in Resource Allocation. </w:t>
      </w:r>
      <w:r w:rsidRPr="00B3612A">
        <w:t>The MIT Press.</w:t>
      </w:r>
    </w:p>
    <w:p w14:paraId="3CFD3F44" w14:textId="77777777" w:rsidR="00B3612A" w:rsidRPr="00B3612A" w:rsidRDefault="00B3612A" w:rsidP="009D468A">
      <w:pPr>
        <w:spacing w:line="480" w:lineRule="auto"/>
        <w:ind w:left="284" w:hanging="284"/>
      </w:pPr>
      <w:proofErr w:type="spellStart"/>
      <w:r w:rsidRPr="00B3612A">
        <w:rPr>
          <w:bCs/>
          <w:iCs/>
          <w:color w:val="000000" w:themeColor="text1"/>
        </w:rPr>
        <w:t>Trigeorgis</w:t>
      </w:r>
      <w:proofErr w:type="spellEnd"/>
      <w:r w:rsidRPr="00B3612A">
        <w:rPr>
          <w:bCs/>
          <w:iCs/>
          <w:color w:val="000000" w:themeColor="text1"/>
        </w:rPr>
        <w:t xml:space="preserve">, L. &amp; </w:t>
      </w:r>
      <w:proofErr w:type="spellStart"/>
      <w:r w:rsidRPr="00B3612A">
        <w:rPr>
          <w:bCs/>
          <w:iCs/>
          <w:color w:val="000000" w:themeColor="text1"/>
        </w:rPr>
        <w:t>Reuer</w:t>
      </w:r>
      <w:proofErr w:type="spellEnd"/>
      <w:r w:rsidRPr="00B3612A">
        <w:rPr>
          <w:bCs/>
          <w:iCs/>
          <w:color w:val="000000" w:themeColor="text1"/>
        </w:rPr>
        <w:t xml:space="preserve">, J. J. (2017). Real options theory in strategic management. </w:t>
      </w:r>
      <w:r w:rsidRPr="00B3612A">
        <w:rPr>
          <w:bCs/>
          <w:i/>
          <w:color w:val="000000" w:themeColor="text1"/>
        </w:rPr>
        <w:t>Strategic Management Journals</w:t>
      </w:r>
      <w:r w:rsidRPr="00B3612A">
        <w:rPr>
          <w:bCs/>
          <w:iCs/>
          <w:color w:val="000000" w:themeColor="text1"/>
        </w:rPr>
        <w:t>, 38 (1):</w:t>
      </w:r>
      <w:r w:rsidRPr="00B3612A">
        <w:rPr>
          <w:color w:val="000000" w:themeColor="text1"/>
          <w:shd w:val="clear" w:color="auto" w:fill="FFFFFF"/>
        </w:rPr>
        <w:t xml:space="preserve"> 42-63.</w:t>
      </w:r>
    </w:p>
    <w:p w14:paraId="5A70DB7C" w14:textId="77777777" w:rsidR="00B3612A" w:rsidRPr="00B3612A" w:rsidRDefault="00B3612A" w:rsidP="009D468A">
      <w:pPr>
        <w:spacing w:line="480" w:lineRule="auto"/>
        <w:ind w:left="284" w:hanging="284"/>
      </w:pPr>
      <w:proofErr w:type="spellStart"/>
      <w:r w:rsidRPr="00B3612A">
        <w:rPr>
          <w:color w:val="000000" w:themeColor="text1"/>
        </w:rPr>
        <w:t>Trigeorgis</w:t>
      </w:r>
      <w:proofErr w:type="spellEnd"/>
      <w:r w:rsidRPr="00B3612A">
        <w:rPr>
          <w:color w:val="000000" w:themeColor="text1"/>
        </w:rPr>
        <w:t xml:space="preserve">, L. </w:t>
      </w:r>
      <w:r w:rsidR="008540E1">
        <w:rPr>
          <w:color w:val="000000" w:themeColor="text1"/>
        </w:rPr>
        <w:t xml:space="preserve">&amp; </w:t>
      </w:r>
      <w:proofErr w:type="spellStart"/>
      <w:r w:rsidRPr="00B3612A">
        <w:rPr>
          <w:color w:val="000000" w:themeColor="text1"/>
        </w:rPr>
        <w:t>Tsekrekos</w:t>
      </w:r>
      <w:proofErr w:type="spellEnd"/>
      <w:r w:rsidRPr="00B3612A">
        <w:rPr>
          <w:color w:val="000000" w:themeColor="text1"/>
        </w:rPr>
        <w:t xml:space="preserve">, A. E. (2018). Real options in operations research: A review. </w:t>
      </w:r>
      <w:r w:rsidRPr="00B3612A">
        <w:rPr>
          <w:i/>
          <w:iCs/>
          <w:color w:val="000000" w:themeColor="text1"/>
        </w:rPr>
        <w:t>European Journal of Operational Research</w:t>
      </w:r>
      <w:r w:rsidRPr="00B3612A">
        <w:rPr>
          <w:color w:val="000000" w:themeColor="text1"/>
        </w:rPr>
        <w:t>, 271(1):1-24.</w:t>
      </w:r>
    </w:p>
    <w:p w14:paraId="36A0FE56" w14:textId="346E4FD9" w:rsidR="00B3612A" w:rsidRPr="00B3612A" w:rsidRDefault="00B3612A" w:rsidP="009D468A">
      <w:pPr>
        <w:spacing w:line="480" w:lineRule="auto"/>
        <w:ind w:left="284" w:hanging="284"/>
      </w:pPr>
      <w:proofErr w:type="spellStart"/>
      <w:r w:rsidRPr="00B3612A">
        <w:t>Verbeeten</w:t>
      </w:r>
      <w:proofErr w:type="spellEnd"/>
      <w:r w:rsidRPr="00B3612A">
        <w:t>, Frank H. M. 2006. “Do Organi</w:t>
      </w:r>
      <w:r w:rsidR="006F1E41">
        <w:t>s</w:t>
      </w:r>
      <w:r w:rsidRPr="00B3612A">
        <w:t xml:space="preserve">ations Adopt Sophisticated Capital Budgeting Practices to Deal with Uncertainty in the Investment Decision? A Research Note.” </w:t>
      </w:r>
      <w:r w:rsidRPr="00B3612A">
        <w:rPr>
          <w:i/>
          <w:iCs/>
        </w:rPr>
        <w:t>Management Accounting Research</w:t>
      </w:r>
      <w:r w:rsidRPr="00B3612A">
        <w:t xml:space="preserve">, 17:106-120. </w:t>
      </w:r>
    </w:p>
    <w:p w14:paraId="5949FE5C" w14:textId="0D74C47F" w:rsidR="00B3612A" w:rsidRPr="00B3612A" w:rsidRDefault="00B3612A" w:rsidP="009D468A">
      <w:pPr>
        <w:spacing w:line="480" w:lineRule="auto"/>
        <w:ind w:left="284" w:hanging="284"/>
      </w:pPr>
      <w:r w:rsidRPr="00B3612A">
        <w:t xml:space="preserve">Wang, T., J. </w:t>
      </w:r>
      <w:proofErr w:type="gramStart"/>
      <w:r w:rsidRPr="00B3612A">
        <w:t>S.</w:t>
      </w:r>
      <w:proofErr w:type="gramEnd"/>
      <w:r w:rsidRPr="00B3612A">
        <w:t xml:space="preserve"> </w:t>
      </w:r>
      <w:r w:rsidR="00F1453B">
        <w:t xml:space="preserve">and </w:t>
      </w:r>
      <w:r w:rsidRPr="00B3612A">
        <w:t xml:space="preserve">Dyer. 2010. Valuing multifactor real options using an implied binomial tree. </w:t>
      </w:r>
      <w:proofErr w:type="spellStart"/>
      <w:r w:rsidRPr="00B3612A">
        <w:t>Decis</w:t>
      </w:r>
      <w:proofErr w:type="spellEnd"/>
      <w:r w:rsidRPr="00B3612A">
        <w:t xml:space="preserve">. Anal. 7: 185–195. </w:t>
      </w:r>
    </w:p>
    <w:p w14:paraId="06AFF674" w14:textId="77770662" w:rsidR="00B3612A" w:rsidRPr="00B3612A" w:rsidRDefault="00B3612A" w:rsidP="009D468A">
      <w:pPr>
        <w:spacing w:line="480" w:lineRule="auto"/>
        <w:ind w:left="284" w:hanging="284"/>
      </w:pPr>
      <w:r w:rsidRPr="00B3612A">
        <w:lastRenderedPageBreak/>
        <w:t xml:space="preserve">Wang, T., J. </w:t>
      </w:r>
      <w:proofErr w:type="gramStart"/>
      <w:r w:rsidRPr="00B3612A">
        <w:t>S.</w:t>
      </w:r>
      <w:proofErr w:type="gramEnd"/>
      <w:r w:rsidRPr="00B3612A">
        <w:t xml:space="preserve"> </w:t>
      </w:r>
      <w:r w:rsidR="00F1453B">
        <w:t xml:space="preserve">and </w:t>
      </w:r>
      <w:r w:rsidRPr="00B3612A">
        <w:t xml:space="preserve">Dyer. 2012. A copulas-based approach to </w:t>
      </w:r>
      <w:r w:rsidR="008540E1" w:rsidRPr="00B3612A">
        <w:t>modelling</w:t>
      </w:r>
      <w:r w:rsidRPr="00B3612A">
        <w:t xml:space="preserve"> dependence in decision trees. </w:t>
      </w:r>
      <w:proofErr w:type="spellStart"/>
      <w:r w:rsidRPr="00B3612A">
        <w:t>Oper</w:t>
      </w:r>
      <w:proofErr w:type="spellEnd"/>
      <w:r w:rsidRPr="00B3612A">
        <w:t xml:space="preserve">. Res. 60: 225–242. </w:t>
      </w:r>
    </w:p>
    <w:p w14:paraId="27371434" w14:textId="42CCFCC3" w:rsidR="002711F3" w:rsidRDefault="00B3612A" w:rsidP="00AE6602">
      <w:pPr>
        <w:spacing w:line="480" w:lineRule="auto"/>
        <w:ind w:left="284" w:hanging="284"/>
      </w:pPr>
      <w:r w:rsidRPr="00B3612A">
        <w:rPr>
          <w:color w:val="000000" w:themeColor="text1"/>
        </w:rPr>
        <w:t>WHO (2020</w:t>
      </w:r>
      <w:proofErr w:type="gramStart"/>
      <w:r w:rsidRPr="0078131F">
        <w:rPr>
          <w:color w:val="000000" w:themeColor="text1"/>
        </w:rPr>
        <w:t>).</w:t>
      </w:r>
      <w:proofErr w:type="gramEnd"/>
      <w:r w:rsidRPr="00B3612A">
        <w:rPr>
          <w:color w:val="000000" w:themeColor="text1"/>
        </w:rPr>
        <w:t xml:space="preserve"> </w:t>
      </w:r>
      <w:r w:rsidRPr="0078131F">
        <w:rPr>
          <w:color w:val="000000" w:themeColor="text1"/>
        </w:rPr>
        <w:t>https://www.who.int/news-room/commentaries/detail/modes-of-transmission-of-virus-causing-</w:t>
      </w:r>
      <w:r w:rsidR="0066106F" w:rsidRPr="0078131F">
        <w:rPr>
          <w:color w:val="000000" w:themeColor="text1"/>
        </w:rPr>
        <w:t>COVID</w:t>
      </w:r>
      <w:r w:rsidRPr="0078131F">
        <w:rPr>
          <w:color w:val="000000" w:themeColor="text1"/>
        </w:rPr>
        <w:t>-19-implications-for-ipc-precaution-recommendations.</w:t>
      </w:r>
      <w:r w:rsidR="002711F3">
        <w:br w:type="page"/>
      </w:r>
    </w:p>
    <w:p w14:paraId="2CFA632F" w14:textId="0B86EED2" w:rsidR="00C03FEB" w:rsidRDefault="00C03FEB">
      <w:pPr>
        <w:spacing w:after="160" w:line="259" w:lineRule="auto"/>
        <w:rPr>
          <w:b/>
          <w:bCs/>
        </w:rPr>
      </w:pPr>
    </w:p>
    <w:p w14:paraId="125C1B92" w14:textId="7F02E439" w:rsidR="0008131C" w:rsidRDefault="0008131C" w:rsidP="00182505">
      <w:pPr>
        <w:spacing w:after="120" w:line="360" w:lineRule="auto"/>
        <w:jc w:val="both"/>
        <w:rPr>
          <w:b/>
          <w:bCs/>
        </w:rPr>
      </w:pPr>
      <w:r>
        <w:rPr>
          <w:b/>
          <w:bCs/>
        </w:rPr>
        <w:t>Appendix</w:t>
      </w:r>
      <w:r w:rsidR="00407D3B">
        <w:rPr>
          <w:b/>
          <w:bCs/>
        </w:rPr>
        <w:t xml:space="preserve"> 1</w:t>
      </w:r>
    </w:p>
    <w:tbl>
      <w:tblPr>
        <w:tblW w:w="8060" w:type="dxa"/>
        <w:tblLook w:val="04A0" w:firstRow="1" w:lastRow="0" w:firstColumn="1" w:lastColumn="0" w:noHBand="0" w:noVBand="1"/>
      </w:tblPr>
      <w:tblGrid>
        <w:gridCol w:w="1442"/>
        <w:gridCol w:w="1354"/>
        <w:gridCol w:w="1316"/>
        <w:gridCol w:w="1316"/>
        <w:gridCol w:w="1316"/>
        <w:gridCol w:w="1316"/>
      </w:tblGrid>
      <w:tr w:rsidR="0008131C" w:rsidRPr="0008131C" w14:paraId="755EF635" w14:textId="77777777" w:rsidTr="00796090">
        <w:trPr>
          <w:trHeight w:val="320"/>
        </w:trPr>
        <w:tc>
          <w:tcPr>
            <w:tcW w:w="8060" w:type="dxa"/>
            <w:gridSpan w:val="6"/>
            <w:tcBorders>
              <w:top w:val="nil"/>
              <w:left w:val="nil"/>
              <w:bottom w:val="single" w:sz="2" w:space="0" w:color="auto"/>
              <w:right w:val="nil"/>
            </w:tcBorders>
            <w:shd w:val="clear" w:color="auto" w:fill="auto"/>
            <w:noWrap/>
            <w:vAlign w:val="bottom"/>
            <w:hideMark/>
          </w:tcPr>
          <w:p w14:paraId="729A5B1F" w14:textId="77777777" w:rsidR="0008131C" w:rsidRDefault="0008131C" w:rsidP="0008131C">
            <w:pPr>
              <w:rPr>
                <w:color w:val="000000"/>
              </w:rPr>
            </w:pPr>
            <w:r w:rsidRPr="0008131C">
              <w:rPr>
                <w:color w:val="000000"/>
              </w:rPr>
              <w:t>Parameter values</w:t>
            </w:r>
            <w:r>
              <w:rPr>
                <w:color w:val="000000"/>
              </w:rPr>
              <w:t xml:space="preserve"> of simulations</w:t>
            </w:r>
            <w:r w:rsidR="00407D3B">
              <w:rPr>
                <w:color w:val="000000"/>
              </w:rPr>
              <w:t xml:space="preserve"> Project A, B and C</w:t>
            </w:r>
          </w:p>
          <w:p w14:paraId="26A69F1D" w14:textId="77777777" w:rsidR="00007E4A" w:rsidRDefault="00007E4A" w:rsidP="0008131C">
            <w:pPr>
              <w:rPr>
                <w:color w:val="000000"/>
              </w:rPr>
            </w:pPr>
          </w:p>
          <w:p w14:paraId="6132CFE9" w14:textId="77777777" w:rsidR="00407D3B" w:rsidRPr="0008131C" w:rsidRDefault="00407D3B" w:rsidP="0008131C">
            <w:pPr>
              <w:rPr>
                <w:sz w:val="20"/>
                <w:szCs w:val="20"/>
              </w:rPr>
            </w:pPr>
          </w:p>
        </w:tc>
      </w:tr>
      <w:tr w:rsidR="0008131C" w:rsidRPr="0008131C" w14:paraId="2F7B4589" w14:textId="77777777" w:rsidTr="00796090">
        <w:trPr>
          <w:trHeight w:val="320"/>
        </w:trPr>
        <w:tc>
          <w:tcPr>
            <w:tcW w:w="1442" w:type="dxa"/>
            <w:tcBorders>
              <w:top w:val="single" w:sz="2" w:space="0" w:color="auto"/>
              <w:left w:val="nil"/>
              <w:bottom w:val="single" w:sz="2" w:space="0" w:color="auto"/>
              <w:right w:val="nil"/>
            </w:tcBorders>
            <w:shd w:val="clear" w:color="auto" w:fill="auto"/>
            <w:noWrap/>
            <w:vAlign w:val="bottom"/>
            <w:hideMark/>
          </w:tcPr>
          <w:p w14:paraId="571843EB" w14:textId="77777777" w:rsidR="0008131C" w:rsidRPr="0008131C" w:rsidRDefault="00796090" w:rsidP="00007E4A">
            <w:pPr>
              <w:jc w:val="right"/>
            </w:pPr>
            <w:r>
              <w:t>(</w:t>
            </w:r>
            <w:r w:rsidR="0008131C" w:rsidRPr="0008131C">
              <w:t>Defer</w:t>
            </w:r>
            <w:r>
              <w:t>)</w:t>
            </w:r>
          </w:p>
        </w:tc>
        <w:tc>
          <w:tcPr>
            <w:tcW w:w="1354" w:type="dxa"/>
            <w:tcBorders>
              <w:top w:val="single" w:sz="2" w:space="0" w:color="auto"/>
              <w:left w:val="nil"/>
              <w:bottom w:val="single" w:sz="2" w:space="0" w:color="auto"/>
              <w:right w:val="nil"/>
            </w:tcBorders>
            <w:shd w:val="clear" w:color="auto" w:fill="auto"/>
            <w:noWrap/>
            <w:vAlign w:val="bottom"/>
            <w:hideMark/>
          </w:tcPr>
          <w:p w14:paraId="58F2612A" w14:textId="77777777" w:rsidR="0008131C" w:rsidRPr="0008131C" w:rsidRDefault="0008131C" w:rsidP="00007E4A">
            <w:pPr>
              <w:jc w:val="right"/>
              <w:rPr>
                <w:color w:val="000000"/>
              </w:rPr>
            </w:pPr>
            <w:r w:rsidRPr="0008131C">
              <w:rPr>
                <w:color w:val="000000"/>
              </w:rPr>
              <w:t>Project A</w:t>
            </w:r>
          </w:p>
        </w:tc>
        <w:tc>
          <w:tcPr>
            <w:tcW w:w="1316" w:type="dxa"/>
            <w:tcBorders>
              <w:top w:val="single" w:sz="2" w:space="0" w:color="auto"/>
              <w:left w:val="nil"/>
              <w:bottom w:val="single" w:sz="2" w:space="0" w:color="auto"/>
              <w:right w:val="nil"/>
            </w:tcBorders>
            <w:shd w:val="clear" w:color="auto" w:fill="auto"/>
            <w:noWrap/>
            <w:vAlign w:val="bottom"/>
            <w:hideMark/>
          </w:tcPr>
          <w:p w14:paraId="65867D72" w14:textId="77777777" w:rsidR="0008131C" w:rsidRPr="0008131C" w:rsidRDefault="00796090" w:rsidP="00007E4A">
            <w:pPr>
              <w:jc w:val="right"/>
            </w:pPr>
            <w:r>
              <w:t>(</w:t>
            </w:r>
            <w:r w:rsidR="0008131C" w:rsidRPr="0008131C">
              <w:t>Expand</w:t>
            </w:r>
            <w:r>
              <w:t>)</w:t>
            </w:r>
          </w:p>
        </w:tc>
        <w:tc>
          <w:tcPr>
            <w:tcW w:w="1316" w:type="dxa"/>
            <w:tcBorders>
              <w:top w:val="single" w:sz="2" w:space="0" w:color="auto"/>
              <w:left w:val="nil"/>
              <w:bottom w:val="single" w:sz="2" w:space="0" w:color="auto"/>
              <w:right w:val="nil"/>
            </w:tcBorders>
            <w:shd w:val="clear" w:color="auto" w:fill="auto"/>
            <w:noWrap/>
            <w:vAlign w:val="bottom"/>
            <w:hideMark/>
          </w:tcPr>
          <w:p w14:paraId="73875B8C" w14:textId="77777777" w:rsidR="0008131C" w:rsidRPr="0008131C" w:rsidRDefault="0008131C" w:rsidP="00007E4A">
            <w:pPr>
              <w:jc w:val="right"/>
              <w:rPr>
                <w:color w:val="000000"/>
              </w:rPr>
            </w:pPr>
            <w:r w:rsidRPr="0008131C">
              <w:rPr>
                <w:color w:val="000000"/>
              </w:rPr>
              <w:t>Project B</w:t>
            </w:r>
          </w:p>
        </w:tc>
        <w:tc>
          <w:tcPr>
            <w:tcW w:w="1316" w:type="dxa"/>
            <w:tcBorders>
              <w:top w:val="single" w:sz="2" w:space="0" w:color="auto"/>
              <w:left w:val="nil"/>
              <w:bottom w:val="single" w:sz="2" w:space="0" w:color="auto"/>
              <w:right w:val="nil"/>
            </w:tcBorders>
            <w:shd w:val="clear" w:color="auto" w:fill="auto"/>
            <w:noWrap/>
            <w:vAlign w:val="bottom"/>
            <w:hideMark/>
          </w:tcPr>
          <w:p w14:paraId="2AD00199" w14:textId="77777777" w:rsidR="0008131C" w:rsidRPr="0008131C" w:rsidRDefault="00796090" w:rsidP="00007E4A">
            <w:pPr>
              <w:jc w:val="right"/>
              <w:rPr>
                <w:color w:val="000000"/>
              </w:rPr>
            </w:pPr>
            <w:r>
              <w:rPr>
                <w:color w:val="000000"/>
              </w:rPr>
              <w:t>(</w:t>
            </w:r>
            <w:r w:rsidR="0008131C" w:rsidRPr="0008131C">
              <w:rPr>
                <w:color w:val="000000"/>
              </w:rPr>
              <w:t>Switch</w:t>
            </w:r>
            <w:r>
              <w:rPr>
                <w:color w:val="000000"/>
              </w:rPr>
              <w:t>)</w:t>
            </w:r>
            <w:r w:rsidR="0008131C" w:rsidRPr="0008131C">
              <w:rPr>
                <w:color w:val="000000"/>
              </w:rPr>
              <w:t xml:space="preserve"> </w:t>
            </w:r>
          </w:p>
        </w:tc>
        <w:tc>
          <w:tcPr>
            <w:tcW w:w="1316" w:type="dxa"/>
            <w:tcBorders>
              <w:top w:val="single" w:sz="2" w:space="0" w:color="auto"/>
              <w:left w:val="nil"/>
              <w:bottom w:val="single" w:sz="2" w:space="0" w:color="auto"/>
              <w:right w:val="nil"/>
            </w:tcBorders>
            <w:shd w:val="clear" w:color="auto" w:fill="auto"/>
            <w:noWrap/>
            <w:vAlign w:val="bottom"/>
            <w:hideMark/>
          </w:tcPr>
          <w:p w14:paraId="08DA0840" w14:textId="77777777" w:rsidR="0008131C" w:rsidRPr="0008131C" w:rsidRDefault="0008131C" w:rsidP="00007E4A">
            <w:pPr>
              <w:jc w:val="right"/>
              <w:rPr>
                <w:color w:val="000000"/>
              </w:rPr>
            </w:pPr>
            <w:r w:rsidRPr="0008131C">
              <w:rPr>
                <w:color w:val="000000"/>
              </w:rPr>
              <w:t>Project C</w:t>
            </w:r>
          </w:p>
        </w:tc>
      </w:tr>
      <w:tr w:rsidR="0008131C" w:rsidRPr="0008131C" w14:paraId="0311485E" w14:textId="77777777" w:rsidTr="00796090">
        <w:trPr>
          <w:trHeight w:val="320"/>
        </w:trPr>
        <w:tc>
          <w:tcPr>
            <w:tcW w:w="1442" w:type="dxa"/>
            <w:tcBorders>
              <w:top w:val="single" w:sz="2" w:space="0" w:color="auto"/>
              <w:left w:val="nil"/>
              <w:bottom w:val="nil"/>
              <w:right w:val="nil"/>
            </w:tcBorders>
            <w:shd w:val="clear" w:color="auto" w:fill="auto"/>
            <w:noWrap/>
            <w:vAlign w:val="bottom"/>
            <w:hideMark/>
          </w:tcPr>
          <w:p w14:paraId="27275AC8" w14:textId="77777777" w:rsidR="0008131C" w:rsidRPr="0008131C" w:rsidRDefault="0008131C" w:rsidP="00007E4A">
            <w:pPr>
              <w:jc w:val="right"/>
            </w:pPr>
            <w:r w:rsidRPr="0008131C">
              <w:t>d1</w:t>
            </w:r>
            <w:r w:rsidR="002007C7">
              <w:t>=</w:t>
            </w:r>
          </w:p>
        </w:tc>
        <w:tc>
          <w:tcPr>
            <w:tcW w:w="1354" w:type="dxa"/>
            <w:tcBorders>
              <w:top w:val="single" w:sz="2" w:space="0" w:color="auto"/>
              <w:left w:val="nil"/>
              <w:bottom w:val="nil"/>
              <w:right w:val="nil"/>
            </w:tcBorders>
            <w:shd w:val="clear" w:color="auto" w:fill="auto"/>
            <w:noWrap/>
            <w:vAlign w:val="bottom"/>
            <w:hideMark/>
          </w:tcPr>
          <w:p w14:paraId="2BD28579" w14:textId="77777777" w:rsidR="0008131C" w:rsidRPr="0008131C" w:rsidRDefault="0008131C" w:rsidP="00007E4A">
            <w:pPr>
              <w:jc w:val="right"/>
              <w:rPr>
                <w:color w:val="000000"/>
              </w:rPr>
            </w:pPr>
            <w:r w:rsidRPr="0008131C">
              <w:rPr>
                <w:color w:val="000000"/>
              </w:rPr>
              <w:t>1.73</w:t>
            </w:r>
          </w:p>
        </w:tc>
        <w:tc>
          <w:tcPr>
            <w:tcW w:w="1316" w:type="dxa"/>
            <w:tcBorders>
              <w:top w:val="single" w:sz="2" w:space="0" w:color="auto"/>
              <w:left w:val="nil"/>
              <w:bottom w:val="nil"/>
              <w:right w:val="nil"/>
            </w:tcBorders>
            <w:shd w:val="clear" w:color="auto" w:fill="auto"/>
            <w:noWrap/>
            <w:vAlign w:val="bottom"/>
            <w:hideMark/>
          </w:tcPr>
          <w:p w14:paraId="46572C21" w14:textId="77777777" w:rsidR="0008131C" w:rsidRPr="0008131C" w:rsidRDefault="0008131C" w:rsidP="00007E4A">
            <w:pPr>
              <w:jc w:val="right"/>
            </w:pPr>
            <w:r w:rsidRPr="0008131C">
              <w:t>d1</w:t>
            </w:r>
            <w:r w:rsidR="002007C7">
              <w:t>=</w:t>
            </w:r>
          </w:p>
        </w:tc>
        <w:tc>
          <w:tcPr>
            <w:tcW w:w="1316" w:type="dxa"/>
            <w:tcBorders>
              <w:top w:val="single" w:sz="2" w:space="0" w:color="auto"/>
              <w:left w:val="nil"/>
              <w:bottom w:val="nil"/>
              <w:right w:val="nil"/>
            </w:tcBorders>
            <w:shd w:val="clear" w:color="auto" w:fill="auto"/>
            <w:noWrap/>
            <w:vAlign w:val="bottom"/>
            <w:hideMark/>
          </w:tcPr>
          <w:p w14:paraId="1944B82C" w14:textId="77777777" w:rsidR="0008131C" w:rsidRPr="0008131C" w:rsidRDefault="0008131C" w:rsidP="00007E4A">
            <w:pPr>
              <w:jc w:val="right"/>
              <w:rPr>
                <w:color w:val="000000"/>
              </w:rPr>
            </w:pPr>
            <w:r w:rsidRPr="0008131C">
              <w:rPr>
                <w:color w:val="000000"/>
              </w:rPr>
              <w:t>1.89</w:t>
            </w:r>
          </w:p>
        </w:tc>
        <w:tc>
          <w:tcPr>
            <w:tcW w:w="1316" w:type="dxa"/>
            <w:tcBorders>
              <w:top w:val="single" w:sz="2" w:space="0" w:color="auto"/>
              <w:left w:val="nil"/>
              <w:bottom w:val="nil"/>
              <w:right w:val="nil"/>
            </w:tcBorders>
            <w:shd w:val="clear" w:color="auto" w:fill="auto"/>
            <w:noWrap/>
            <w:vAlign w:val="bottom"/>
            <w:hideMark/>
          </w:tcPr>
          <w:p w14:paraId="7C5A1CB7" w14:textId="77777777" w:rsidR="0008131C" w:rsidRPr="0008131C" w:rsidRDefault="0008131C" w:rsidP="00007E4A">
            <w:pPr>
              <w:jc w:val="right"/>
              <w:rPr>
                <w:color w:val="000000"/>
              </w:rPr>
            </w:pPr>
            <w:r w:rsidRPr="0008131C">
              <w:rPr>
                <w:color w:val="000000"/>
              </w:rPr>
              <w:t>d1</w:t>
            </w:r>
            <w:r w:rsidR="002007C7">
              <w:rPr>
                <w:color w:val="000000"/>
              </w:rPr>
              <w:t>=</w:t>
            </w:r>
          </w:p>
        </w:tc>
        <w:tc>
          <w:tcPr>
            <w:tcW w:w="1316" w:type="dxa"/>
            <w:tcBorders>
              <w:top w:val="single" w:sz="2" w:space="0" w:color="auto"/>
              <w:left w:val="nil"/>
              <w:bottom w:val="nil"/>
              <w:right w:val="nil"/>
            </w:tcBorders>
            <w:shd w:val="clear" w:color="auto" w:fill="auto"/>
            <w:noWrap/>
            <w:vAlign w:val="bottom"/>
            <w:hideMark/>
          </w:tcPr>
          <w:p w14:paraId="280C832E" w14:textId="77777777" w:rsidR="0008131C" w:rsidRPr="0008131C" w:rsidRDefault="0008131C" w:rsidP="00007E4A">
            <w:pPr>
              <w:jc w:val="right"/>
              <w:rPr>
                <w:color w:val="000000"/>
              </w:rPr>
            </w:pPr>
            <w:r w:rsidRPr="0008131C">
              <w:rPr>
                <w:color w:val="000000"/>
              </w:rPr>
              <w:t>0.74</w:t>
            </w:r>
          </w:p>
        </w:tc>
      </w:tr>
      <w:tr w:rsidR="0008131C" w:rsidRPr="0008131C" w14:paraId="275E18CA" w14:textId="77777777" w:rsidTr="0008131C">
        <w:trPr>
          <w:trHeight w:val="320"/>
        </w:trPr>
        <w:tc>
          <w:tcPr>
            <w:tcW w:w="1442" w:type="dxa"/>
            <w:tcBorders>
              <w:top w:val="nil"/>
              <w:left w:val="nil"/>
              <w:bottom w:val="nil"/>
              <w:right w:val="nil"/>
            </w:tcBorders>
            <w:shd w:val="clear" w:color="auto" w:fill="auto"/>
            <w:noWrap/>
            <w:vAlign w:val="bottom"/>
            <w:hideMark/>
          </w:tcPr>
          <w:p w14:paraId="4911EAA8" w14:textId="77777777" w:rsidR="0008131C" w:rsidRPr="0008131C" w:rsidRDefault="0008131C" w:rsidP="00007E4A">
            <w:pPr>
              <w:jc w:val="right"/>
            </w:pPr>
            <w:r w:rsidRPr="0008131C">
              <w:t>N(d</w:t>
            </w:r>
            <w:proofErr w:type="gramStart"/>
            <w:r w:rsidRPr="0008131C">
              <w:t>1)</w:t>
            </w:r>
            <w:r w:rsidR="002007C7">
              <w:t>=</w:t>
            </w:r>
            <w:proofErr w:type="gramEnd"/>
          </w:p>
        </w:tc>
        <w:tc>
          <w:tcPr>
            <w:tcW w:w="1354" w:type="dxa"/>
            <w:tcBorders>
              <w:top w:val="nil"/>
              <w:left w:val="nil"/>
              <w:bottom w:val="nil"/>
              <w:right w:val="nil"/>
            </w:tcBorders>
            <w:shd w:val="clear" w:color="auto" w:fill="auto"/>
            <w:noWrap/>
            <w:vAlign w:val="bottom"/>
            <w:hideMark/>
          </w:tcPr>
          <w:p w14:paraId="4F6404D3" w14:textId="77777777" w:rsidR="0008131C" w:rsidRPr="0008131C" w:rsidRDefault="0008131C" w:rsidP="00007E4A">
            <w:pPr>
              <w:jc w:val="right"/>
              <w:rPr>
                <w:color w:val="000000"/>
              </w:rPr>
            </w:pPr>
            <w:r w:rsidRPr="0008131C">
              <w:rPr>
                <w:color w:val="000000"/>
              </w:rPr>
              <w:t>0.96</w:t>
            </w:r>
          </w:p>
        </w:tc>
        <w:tc>
          <w:tcPr>
            <w:tcW w:w="1316" w:type="dxa"/>
            <w:tcBorders>
              <w:top w:val="nil"/>
              <w:left w:val="nil"/>
              <w:bottom w:val="nil"/>
              <w:right w:val="nil"/>
            </w:tcBorders>
            <w:shd w:val="clear" w:color="auto" w:fill="auto"/>
            <w:noWrap/>
            <w:vAlign w:val="bottom"/>
            <w:hideMark/>
          </w:tcPr>
          <w:p w14:paraId="4B1A02AB" w14:textId="77777777" w:rsidR="0008131C" w:rsidRPr="0008131C" w:rsidRDefault="0008131C" w:rsidP="00007E4A">
            <w:pPr>
              <w:jc w:val="right"/>
            </w:pPr>
            <w:r w:rsidRPr="0008131C">
              <w:t>N(d</w:t>
            </w:r>
            <w:proofErr w:type="gramStart"/>
            <w:r w:rsidRPr="0008131C">
              <w:t>1)</w:t>
            </w:r>
            <w:r w:rsidR="002007C7">
              <w:t>=</w:t>
            </w:r>
            <w:proofErr w:type="gramEnd"/>
          </w:p>
        </w:tc>
        <w:tc>
          <w:tcPr>
            <w:tcW w:w="1316" w:type="dxa"/>
            <w:tcBorders>
              <w:top w:val="nil"/>
              <w:left w:val="nil"/>
              <w:bottom w:val="nil"/>
              <w:right w:val="nil"/>
            </w:tcBorders>
            <w:shd w:val="clear" w:color="auto" w:fill="auto"/>
            <w:noWrap/>
            <w:vAlign w:val="bottom"/>
            <w:hideMark/>
          </w:tcPr>
          <w:p w14:paraId="3FE5492A" w14:textId="77777777" w:rsidR="0008131C" w:rsidRPr="0008131C" w:rsidRDefault="0008131C" w:rsidP="00007E4A">
            <w:pPr>
              <w:jc w:val="right"/>
              <w:rPr>
                <w:color w:val="000000"/>
              </w:rPr>
            </w:pPr>
            <w:r w:rsidRPr="0008131C">
              <w:rPr>
                <w:color w:val="000000"/>
              </w:rPr>
              <w:t>0.97</w:t>
            </w:r>
          </w:p>
        </w:tc>
        <w:tc>
          <w:tcPr>
            <w:tcW w:w="1316" w:type="dxa"/>
            <w:tcBorders>
              <w:top w:val="nil"/>
              <w:left w:val="nil"/>
              <w:bottom w:val="nil"/>
              <w:right w:val="nil"/>
            </w:tcBorders>
            <w:shd w:val="clear" w:color="auto" w:fill="auto"/>
            <w:noWrap/>
            <w:vAlign w:val="bottom"/>
            <w:hideMark/>
          </w:tcPr>
          <w:p w14:paraId="5A34B170" w14:textId="77777777" w:rsidR="0008131C" w:rsidRPr="0008131C" w:rsidRDefault="0008131C" w:rsidP="00007E4A">
            <w:pPr>
              <w:jc w:val="right"/>
              <w:rPr>
                <w:color w:val="000000"/>
              </w:rPr>
            </w:pPr>
            <w:r w:rsidRPr="0008131C">
              <w:rPr>
                <w:color w:val="000000"/>
              </w:rPr>
              <w:t>N(d</w:t>
            </w:r>
            <w:proofErr w:type="gramStart"/>
            <w:r w:rsidRPr="0008131C">
              <w:rPr>
                <w:color w:val="000000"/>
              </w:rPr>
              <w:t>1)</w:t>
            </w:r>
            <w:r w:rsidR="002007C7">
              <w:rPr>
                <w:color w:val="000000"/>
              </w:rPr>
              <w:t>=</w:t>
            </w:r>
            <w:proofErr w:type="gramEnd"/>
          </w:p>
        </w:tc>
        <w:tc>
          <w:tcPr>
            <w:tcW w:w="1316" w:type="dxa"/>
            <w:tcBorders>
              <w:top w:val="nil"/>
              <w:left w:val="nil"/>
              <w:bottom w:val="nil"/>
              <w:right w:val="nil"/>
            </w:tcBorders>
            <w:shd w:val="clear" w:color="auto" w:fill="auto"/>
            <w:noWrap/>
            <w:vAlign w:val="bottom"/>
            <w:hideMark/>
          </w:tcPr>
          <w:p w14:paraId="32880615" w14:textId="77777777" w:rsidR="0008131C" w:rsidRPr="0008131C" w:rsidRDefault="0008131C" w:rsidP="00007E4A">
            <w:pPr>
              <w:jc w:val="right"/>
              <w:rPr>
                <w:color w:val="000000"/>
              </w:rPr>
            </w:pPr>
            <w:r w:rsidRPr="0008131C">
              <w:rPr>
                <w:color w:val="000000"/>
              </w:rPr>
              <w:t>0.77</w:t>
            </w:r>
          </w:p>
        </w:tc>
      </w:tr>
      <w:tr w:rsidR="0008131C" w:rsidRPr="0008131C" w14:paraId="2BCB817A" w14:textId="77777777" w:rsidTr="0008131C">
        <w:trPr>
          <w:trHeight w:val="320"/>
        </w:trPr>
        <w:tc>
          <w:tcPr>
            <w:tcW w:w="1442" w:type="dxa"/>
            <w:tcBorders>
              <w:top w:val="nil"/>
              <w:left w:val="nil"/>
              <w:bottom w:val="nil"/>
              <w:right w:val="nil"/>
            </w:tcBorders>
            <w:shd w:val="clear" w:color="auto" w:fill="auto"/>
            <w:noWrap/>
            <w:vAlign w:val="bottom"/>
            <w:hideMark/>
          </w:tcPr>
          <w:p w14:paraId="5FE9C9F5" w14:textId="77777777" w:rsidR="0008131C" w:rsidRPr="0008131C" w:rsidRDefault="0008131C" w:rsidP="00007E4A">
            <w:pPr>
              <w:jc w:val="right"/>
            </w:pPr>
            <w:r w:rsidRPr="0008131C">
              <w:t>d2</w:t>
            </w:r>
            <w:r w:rsidR="002007C7">
              <w:t>=</w:t>
            </w:r>
          </w:p>
        </w:tc>
        <w:tc>
          <w:tcPr>
            <w:tcW w:w="1354" w:type="dxa"/>
            <w:tcBorders>
              <w:top w:val="nil"/>
              <w:left w:val="nil"/>
              <w:bottom w:val="nil"/>
              <w:right w:val="nil"/>
            </w:tcBorders>
            <w:shd w:val="clear" w:color="auto" w:fill="auto"/>
            <w:noWrap/>
            <w:vAlign w:val="bottom"/>
            <w:hideMark/>
          </w:tcPr>
          <w:p w14:paraId="26F5AE45" w14:textId="77777777" w:rsidR="0008131C" w:rsidRPr="0008131C" w:rsidRDefault="0008131C" w:rsidP="00007E4A">
            <w:pPr>
              <w:jc w:val="right"/>
              <w:rPr>
                <w:color w:val="000000"/>
              </w:rPr>
            </w:pPr>
            <w:r w:rsidRPr="0008131C">
              <w:rPr>
                <w:color w:val="000000"/>
              </w:rPr>
              <w:t>1.42</w:t>
            </w:r>
          </w:p>
        </w:tc>
        <w:tc>
          <w:tcPr>
            <w:tcW w:w="1316" w:type="dxa"/>
            <w:tcBorders>
              <w:top w:val="nil"/>
              <w:left w:val="nil"/>
              <w:bottom w:val="nil"/>
              <w:right w:val="nil"/>
            </w:tcBorders>
            <w:shd w:val="clear" w:color="auto" w:fill="auto"/>
            <w:noWrap/>
            <w:vAlign w:val="bottom"/>
            <w:hideMark/>
          </w:tcPr>
          <w:p w14:paraId="3A2B66FB" w14:textId="77777777" w:rsidR="0008131C" w:rsidRPr="0008131C" w:rsidRDefault="0008131C" w:rsidP="00007E4A">
            <w:pPr>
              <w:jc w:val="right"/>
            </w:pPr>
            <w:r w:rsidRPr="0008131C">
              <w:t>d2</w:t>
            </w:r>
            <w:r w:rsidR="002007C7">
              <w:t>=</w:t>
            </w:r>
          </w:p>
        </w:tc>
        <w:tc>
          <w:tcPr>
            <w:tcW w:w="1316" w:type="dxa"/>
            <w:tcBorders>
              <w:top w:val="nil"/>
              <w:left w:val="nil"/>
              <w:bottom w:val="nil"/>
              <w:right w:val="nil"/>
            </w:tcBorders>
            <w:shd w:val="clear" w:color="auto" w:fill="auto"/>
            <w:noWrap/>
            <w:vAlign w:val="bottom"/>
            <w:hideMark/>
          </w:tcPr>
          <w:p w14:paraId="2E1A83D3" w14:textId="77777777" w:rsidR="0008131C" w:rsidRPr="0008131C" w:rsidRDefault="0008131C" w:rsidP="00007E4A">
            <w:pPr>
              <w:jc w:val="right"/>
              <w:rPr>
                <w:color w:val="000000"/>
              </w:rPr>
            </w:pPr>
            <w:r w:rsidRPr="0008131C">
              <w:rPr>
                <w:color w:val="000000"/>
              </w:rPr>
              <w:t>1.58</w:t>
            </w:r>
          </w:p>
        </w:tc>
        <w:tc>
          <w:tcPr>
            <w:tcW w:w="1316" w:type="dxa"/>
            <w:tcBorders>
              <w:top w:val="nil"/>
              <w:left w:val="nil"/>
              <w:bottom w:val="nil"/>
              <w:right w:val="nil"/>
            </w:tcBorders>
            <w:shd w:val="clear" w:color="auto" w:fill="auto"/>
            <w:noWrap/>
            <w:vAlign w:val="bottom"/>
            <w:hideMark/>
          </w:tcPr>
          <w:p w14:paraId="4A400AEC" w14:textId="77777777" w:rsidR="0008131C" w:rsidRPr="0008131C" w:rsidRDefault="0008131C" w:rsidP="00007E4A">
            <w:pPr>
              <w:jc w:val="right"/>
              <w:rPr>
                <w:color w:val="000000"/>
              </w:rPr>
            </w:pPr>
            <w:r w:rsidRPr="0008131C">
              <w:rPr>
                <w:color w:val="000000"/>
              </w:rPr>
              <w:t>d2</w:t>
            </w:r>
            <w:r w:rsidR="002007C7">
              <w:rPr>
                <w:color w:val="000000"/>
              </w:rPr>
              <w:t>=</w:t>
            </w:r>
          </w:p>
        </w:tc>
        <w:tc>
          <w:tcPr>
            <w:tcW w:w="1316" w:type="dxa"/>
            <w:tcBorders>
              <w:top w:val="nil"/>
              <w:left w:val="nil"/>
              <w:bottom w:val="nil"/>
              <w:right w:val="nil"/>
            </w:tcBorders>
            <w:shd w:val="clear" w:color="auto" w:fill="auto"/>
            <w:noWrap/>
            <w:vAlign w:val="bottom"/>
            <w:hideMark/>
          </w:tcPr>
          <w:p w14:paraId="15EFCE56" w14:textId="77777777" w:rsidR="0008131C" w:rsidRPr="0008131C" w:rsidRDefault="0008131C" w:rsidP="00007E4A">
            <w:pPr>
              <w:jc w:val="right"/>
              <w:rPr>
                <w:color w:val="000000"/>
              </w:rPr>
            </w:pPr>
            <w:r w:rsidRPr="0008131C">
              <w:rPr>
                <w:color w:val="000000"/>
              </w:rPr>
              <w:t>0.29</w:t>
            </w:r>
          </w:p>
        </w:tc>
      </w:tr>
      <w:tr w:rsidR="0008131C" w:rsidRPr="0008131C" w14:paraId="35B5B64B" w14:textId="77777777" w:rsidTr="0008131C">
        <w:trPr>
          <w:trHeight w:val="320"/>
        </w:trPr>
        <w:tc>
          <w:tcPr>
            <w:tcW w:w="1442" w:type="dxa"/>
            <w:tcBorders>
              <w:top w:val="nil"/>
              <w:left w:val="nil"/>
              <w:bottom w:val="nil"/>
              <w:right w:val="nil"/>
            </w:tcBorders>
            <w:shd w:val="clear" w:color="auto" w:fill="auto"/>
            <w:noWrap/>
            <w:vAlign w:val="bottom"/>
            <w:hideMark/>
          </w:tcPr>
          <w:p w14:paraId="3932DCB1" w14:textId="77777777" w:rsidR="0008131C" w:rsidRPr="0008131C" w:rsidRDefault="0008131C" w:rsidP="00007E4A">
            <w:pPr>
              <w:jc w:val="right"/>
            </w:pPr>
            <w:r w:rsidRPr="0008131C">
              <w:t>N(d</w:t>
            </w:r>
            <w:proofErr w:type="gramStart"/>
            <w:r w:rsidRPr="0008131C">
              <w:t>2)</w:t>
            </w:r>
            <w:r w:rsidR="002007C7">
              <w:t>=</w:t>
            </w:r>
            <w:proofErr w:type="gramEnd"/>
          </w:p>
        </w:tc>
        <w:tc>
          <w:tcPr>
            <w:tcW w:w="1354" w:type="dxa"/>
            <w:tcBorders>
              <w:top w:val="nil"/>
              <w:left w:val="nil"/>
              <w:bottom w:val="nil"/>
              <w:right w:val="nil"/>
            </w:tcBorders>
            <w:shd w:val="clear" w:color="auto" w:fill="auto"/>
            <w:noWrap/>
            <w:vAlign w:val="bottom"/>
            <w:hideMark/>
          </w:tcPr>
          <w:p w14:paraId="6F49550E" w14:textId="77777777" w:rsidR="0008131C" w:rsidRPr="0008131C" w:rsidRDefault="0008131C" w:rsidP="00007E4A">
            <w:pPr>
              <w:jc w:val="right"/>
              <w:rPr>
                <w:color w:val="000000"/>
              </w:rPr>
            </w:pPr>
            <w:r w:rsidRPr="0008131C">
              <w:rPr>
                <w:color w:val="000000"/>
              </w:rPr>
              <w:t>0.92</w:t>
            </w:r>
          </w:p>
        </w:tc>
        <w:tc>
          <w:tcPr>
            <w:tcW w:w="1316" w:type="dxa"/>
            <w:tcBorders>
              <w:top w:val="nil"/>
              <w:left w:val="nil"/>
              <w:bottom w:val="nil"/>
              <w:right w:val="nil"/>
            </w:tcBorders>
            <w:shd w:val="clear" w:color="auto" w:fill="auto"/>
            <w:noWrap/>
            <w:vAlign w:val="bottom"/>
            <w:hideMark/>
          </w:tcPr>
          <w:p w14:paraId="6B50E35C" w14:textId="77777777" w:rsidR="0008131C" w:rsidRPr="0008131C" w:rsidRDefault="0008131C" w:rsidP="00007E4A">
            <w:pPr>
              <w:jc w:val="right"/>
            </w:pPr>
            <w:r w:rsidRPr="0008131C">
              <w:t>N(d</w:t>
            </w:r>
            <w:proofErr w:type="gramStart"/>
            <w:r w:rsidRPr="0008131C">
              <w:t>2)</w:t>
            </w:r>
            <w:r w:rsidR="002007C7">
              <w:t>=</w:t>
            </w:r>
            <w:proofErr w:type="gramEnd"/>
          </w:p>
        </w:tc>
        <w:tc>
          <w:tcPr>
            <w:tcW w:w="1316" w:type="dxa"/>
            <w:tcBorders>
              <w:top w:val="nil"/>
              <w:left w:val="nil"/>
              <w:bottom w:val="nil"/>
              <w:right w:val="nil"/>
            </w:tcBorders>
            <w:shd w:val="clear" w:color="auto" w:fill="auto"/>
            <w:noWrap/>
            <w:vAlign w:val="bottom"/>
            <w:hideMark/>
          </w:tcPr>
          <w:p w14:paraId="192F2235" w14:textId="77777777" w:rsidR="0008131C" w:rsidRPr="0008131C" w:rsidRDefault="0008131C" w:rsidP="00007E4A">
            <w:pPr>
              <w:jc w:val="right"/>
              <w:rPr>
                <w:color w:val="000000"/>
              </w:rPr>
            </w:pPr>
            <w:r w:rsidRPr="0008131C">
              <w:rPr>
                <w:color w:val="000000"/>
              </w:rPr>
              <w:t>0.94</w:t>
            </w:r>
          </w:p>
        </w:tc>
        <w:tc>
          <w:tcPr>
            <w:tcW w:w="1316" w:type="dxa"/>
            <w:tcBorders>
              <w:top w:val="nil"/>
              <w:left w:val="nil"/>
              <w:bottom w:val="nil"/>
              <w:right w:val="nil"/>
            </w:tcBorders>
            <w:shd w:val="clear" w:color="auto" w:fill="auto"/>
            <w:noWrap/>
            <w:vAlign w:val="bottom"/>
            <w:hideMark/>
          </w:tcPr>
          <w:p w14:paraId="40400061" w14:textId="77777777" w:rsidR="0008131C" w:rsidRPr="0008131C" w:rsidRDefault="0008131C" w:rsidP="00007E4A">
            <w:pPr>
              <w:jc w:val="right"/>
              <w:rPr>
                <w:color w:val="000000"/>
              </w:rPr>
            </w:pPr>
            <w:r w:rsidRPr="0008131C">
              <w:rPr>
                <w:color w:val="000000"/>
              </w:rPr>
              <w:t>N(d</w:t>
            </w:r>
            <w:proofErr w:type="gramStart"/>
            <w:r w:rsidRPr="0008131C">
              <w:rPr>
                <w:color w:val="000000"/>
              </w:rPr>
              <w:t>2)</w:t>
            </w:r>
            <w:r w:rsidR="002007C7">
              <w:rPr>
                <w:color w:val="000000"/>
              </w:rPr>
              <w:t>=</w:t>
            </w:r>
            <w:proofErr w:type="gramEnd"/>
          </w:p>
        </w:tc>
        <w:tc>
          <w:tcPr>
            <w:tcW w:w="1316" w:type="dxa"/>
            <w:tcBorders>
              <w:top w:val="nil"/>
              <w:left w:val="nil"/>
              <w:bottom w:val="nil"/>
              <w:right w:val="nil"/>
            </w:tcBorders>
            <w:shd w:val="clear" w:color="auto" w:fill="auto"/>
            <w:noWrap/>
            <w:vAlign w:val="bottom"/>
            <w:hideMark/>
          </w:tcPr>
          <w:p w14:paraId="725B5AC2" w14:textId="77777777" w:rsidR="0008131C" w:rsidRPr="0008131C" w:rsidRDefault="0008131C" w:rsidP="00007E4A">
            <w:pPr>
              <w:jc w:val="right"/>
              <w:rPr>
                <w:color w:val="000000"/>
              </w:rPr>
            </w:pPr>
            <w:r w:rsidRPr="0008131C">
              <w:rPr>
                <w:color w:val="000000"/>
              </w:rPr>
              <w:t>0.61</w:t>
            </w:r>
          </w:p>
        </w:tc>
      </w:tr>
      <w:tr w:rsidR="0008131C" w:rsidRPr="0008131C" w14:paraId="3DDE1099" w14:textId="77777777" w:rsidTr="0008131C">
        <w:trPr>
          <w:trHeight w:val="320"/>
        </w:trPr>
        <w:tc>
          <w:tcPr>
            <w:tcW w:w="1442" w:type="dxa"/>
            <w:tcBorders>
              <w:top w:val="nil"/>
              <w:left w:val="nil"/>
              <w:bottom w:val="nil"/>
              <w:right w:val="nil"/>
            </w:tcBorders>
            <w:shd w:val="clear" w:color="auto" w:fill="auto"/>
            <w:noWrap/>
            <w:vAlign w:val="bottom"/>
            <w:hideMark/>
          </w:tcPr>
          <w:p w14:paraId="171F31CB" w14:textId="77777777" w:rsidR="0008131C" w:rsidRPr="0008131C" w:rsidRDefault="002007C7" w:rsidP="00007E4A">
            <w:pPr>
              <w:jc w:val="right"/>
            </w:pPr>
            <w:r>
              <w:t>k=</w:t>
            </w:r>
          </w:p>
        </w:tc>
        <w:tc>
          <w:tcPr>
            <w:tcW w:w="1354" w:type="dxa"/>
            <w:tcBorders>
              <w:top w:val="nil"/>
              <w:left w:val="nil"/>
              <w:bottom w:val="nil"/>
              <w:right w:val="nil"/>
            </w:tcBorders>
            <w:shd w:val="clear" w:color="auto" w:fill="auto"/>
            <w:noWrap/>
            <w:vAlign w:val="bottom"/>
            <w:hideMark/>
          </w:tcPr>
          <w:p w14:paraId="22C5E45B" w14:textId="77777777" w:rsidR="0008131C" w:rsidRPr="0008131C" w:rsidRDefault="0008131C" w:rsidP="00007E4A">
            <w:pPr>
              <w:jc w:val="right"/>
              <w:rPr>
                <w:color w:val="000000"/>
              </w:rPr>
            </w:pPr>
            <w:r w:rsidRPr="0008131C">
              <w:rPr>
                <w:color w:val="000000"/>
              </w:rPr>
              <w:t>0.08</w:t>
            </w:r>
          </w:p>
        </w:tc>
        <w:tc>
          <w:tcPr>
            <w:tcW w:w="1316" w:type="dxa"/>
            <w:tcBorders>
              <w:top w:val="nil"/>
              <w:left w:val="nil"/>
              <w:bottom w:val="nil"/>
              <w:right w:val="nil"/>
            </w:tcBorders>
            <w:shd w:val="clear" w:color="auto" w:fill="auto"/>
            <w:noWrap/>
            <w:vAlign w:val="bottom"/>
            <w:hideMark/>
          </w:tcPr>
          <w:p w14:paraId="1CD645F6" w14:textId="77777777" w:rsidR="0008131C" w:rsidRPr="0008131C" w:rsidRDefault="0008131C" w:rsidP="00007E4A">
            <w:pPr>
              <w:jc w:val="right"/>
            </w:pPr>
            <w:r w:rsidRPr="0008131C">
              <w:t>k</w:t>
            </w:r>
            <w:r w:rsidR="002007C7">
              <w:t>=</w:t>
            </w:r>
          </w:p>
        </w:tc>
        <w:tc>
          <w:tcPr>
            <w:tcW w:w="1316" w:type="dxa"/>
            <w:tcBorders>
              <w:top w:val="nil"/>
              <w:left w:val="nil"/>
              <w:bottom w:val="nil"/>
              <w:right w:val="nil"/>
            </w:tcBorders>
            <w:shd w:val="clear" w:color="auto" w:fill="auto"/>
            <w:noWrap/>
            <w:vAlign w:val="bottom"/>
            <w:hideMark/>
          </w:tcPr>
          <w:p w14:paraId="6346AC1B" w14:textId="77777777" w:rsidR="0008131C" w:rsidRPr="0008131C" w:rsidRDefault="0008131C" w:rsidP="00007E4A">
            <w:pPr>
              <w:jc w:val="right"/>
              <w:rPr>
                <w:color w:val="000000"/>
              </w:rPr>
            </w:pPr>
            <w:r w:rsidRPr="0008131C">
              <w:rPr>
                <w:color w:val="000000"/>
              </w:rPr>
              <w:t>0.10</w:t>
            </w:r>
          </w:p>
        </w:tc>
        <w:tc>
          <w:tcPr>
            <w:tcW w:w="1316" w:type="dxa"/>
            <w:tcBorders>
              <w:top w:val="nil"/>
              <w:left w:val="nil"/>
              <w:bottom w:val="nil"/>
              <w:right w:val="nil"/>
            </w:tcBorders>
            <w:shd w:val="clear" w:color="auto" w:fill="auto"/>
            <w:noWrap/>
            <w:vAlign w:val="bottom"/>
            <w:hideMark/>
          </w:tcPr>
          <w:p w14:paraId="29457B6D" w14:textId="77777777" w:rsidR="0008131C" w:rsidRPr="0008131C" w:rsidRDefault="0008131C" w:rsidP="00007E4A">
            <w:pPr>
              <w:jc w:val="right"/>
              <w:rPr>
                <w:color w:val="000000"/>
              </w:rPr>
            </w:pPr>
            <w:r w:rsidRPr="0008131C">
              <w:rPr>
                <w:color w:val="000000"/>
              </w:rPr>
              <w:t>s</w:t>
            </w:r>
            <w:r w:rsidR="002007C7">
              <w:rPr>
                <w:color w:val="000000"/>
              </w:rPr>
              <w:t>=</w:t>
            </w:r>
            <w:r w:rsidRPr="0008131C">
              <w:rPr>
                <w:color w:val="000000"/>
              </w:rPr>
              <w:t xml:space="preserve"> </w:t>
            </w:r>
          </w:p>
        </w:tc>
        <w:tc>
          <w:tcPr>
            <w:tcW w:w="1316" w:type="dxa"/>
            <w:tcBorders>
              <w:top w:val="nil"/>
              <w:left w:val="nil"/>
              <w:bottom w:val="nil"/>
              <w:right w:val="nil"/>
            </w:tcBorders>
            <w:shd w:val="clear" w:color="auto" w:fill="auto"/>
            <w:noWrap/>
            <w:vAlign w:val="bottom"/>
            <w:hideMark/>
          </w:tcPr>
          <w:p w14:paraId="699CC27C" w14:textId="77777777" w:rsidR="0008131C" w:rsidRPr="0008131C" w:rsidRDefault="0008131C" w:rsidP="00007E4A">
            <w:pPr>
              <w:jc w:val="right"/>
              <w:rPr>
                <w:color w:val="000000"/>
              </w:rPr>
            </w:pPr>
            <w:r w:rsidRPr="0008131C">
              <w:rPr>
                <w:color w:val="000000"/>
              </w:rPr>
              <w:t>0.32</w:t>
            </w:r>
          </w:p>
        </w:tc>
      </w:tr>
      <w:tr w:rsidR="0008131C" w:rsidRPr="0008131C" w14:paraId="1AF65659" w14:textId="77777777" w:rsidTr="0008131C">
        <w:trPr>
          <w:trHeight w:val="320"/>
        </w:trPr>
        <w:tc>
          <w:tcPr>
            <w:tcW w:w="1442" w:type="dxa"/>
            <w:tcBorders>
              <w:top w:val="nil"/>
              <w:left w:val="nil"/>
              <w:bottom w:val="nil"/>
              <w:right w:val="nil"/>
            </w:tcBorders>
            <w:shd w:val="clear" w:color="auto" w:fill="auto"/>
            <w:noWrap/>
            <w:vAlign w:val="bottom"/>
            <w:hideMark/>
          </w:tcPr>
          <w:p w14:paraId="0B2F9999" w14:textId="77777777" w:rsidR="0008131C" w:rsidRPr="0008131C" w:rsidRDefault="002007C7" w:rsidP="00007E4A">
            <w:pPr>
              <w:jc w:val="right"/>
            </w:pPr>
            <w:r>
              <w:t>r=</w:t>
            </w:r>
          </w:p>
        </w:tc>
        <w:tc>
          <w:tcPr>
            <w:tcW w:w="1354" w:type="dxa"/>
            <w:tcBorders>
              <w:top w:val="nil"/>
              <w:left w:val="nil"/>
              <w:bottom w:val="nil"/>
              <w:right w:val="nil"/>
            </w:tcBorders>
            <w:shd w:val="clear" w:color="auto" w:fill="auto"/>
            <w:noWrap/>
            <w:vAlign w:val="bottom"/>
            <w:hideMark/>
          </w:tcPr>
          <w:p w14:paraId="3C243828" w14:textId="77777777" w:rsidR="0008131C" w:rsidRPr="0008131C" w:rsidRDefault="0008131C" w:rsidP="00007E4A">
            <w:pPr>
              <w:jc w:val="right"/>
              <w:rPr>
                <w:color w:val="000000"/>
              </w:rPr>
            </w:pPr>
            <w:r w:rsidRPr="0008131C">
              <w:rPr>
                <w:color w:val="000000"/>
              </w:rPr>
              <w:t>0.05</w:t>
            </w:r>
          </w:p>
        </w:tc>
        <w:tc>
          <w:tcPr>
            <w:tcW w:w="1316" w:type="dxa"/>
            <w:tcBorders>
              <w:top w:val="nil"/>
              <w:left w:val="nil"/>
              <w:bottom w:val="nil"/>
              <w:right w:val="nil"/>
            </w:tcBorders>
            <w:shd w:val="clear" w:color="auto" w:fill="auto"/>
            <w:noWrap/>
            <w:vAlign w:val="bottom"/>
            <w:hideMark/>
          </w:tcPr>
          <w:p w14:paraId="548B2B80" w14:textId="77777777" w:rsidR="0008131C" w:rsidRPr="0008131C" w:rsidRDefault="0008131C" w:rsidP="00007E4A">
            <w:pPr>
              <w:jc w:val="right"/>
            </w:pPr>
            <w:r w:rsidRPr="0008131C">
              <w:t>r</w:t>
            </w:r>
            <w:r w:rsidR="002007C7">
              <w:t>=</w:t>
            </w:r>
          </w:p>
        </w:tc>
        <w:tc>
          <w:tcPr>
            <w:tcW w:w="1316" w:type="dxa"/>
            <w:tcBorders>
              <w:top w:val="nil"/>
              <w:left w:val="nil"/>
              <w:bottom w:val="nil"/>
              <w:right w:val="nil"/>
            </w:tcBorders>
            <w:shd w:val="clear" w:color="auto" w:fill="auto"/>
            <w:noWrap/>
            <w:vAlign w:val="bottom"/>
            <w:hideMark/>
          </w:tcPr>
          <w:p w14:paraId="7A10A696" w14:textId="77777777" w:rsidR="0008131C" w:rsidRPr="0008131C" w:rsidRDefault="0008131C" w:rsidP="00007E4A">
            <w:pPr>
              <w:jc w:val="right"/>
              <w:rPr>
                <w:color w:val="000000"/>
              </w:rPr>
            </w:pPr>
            <w:r w:rsidRPr="0008131C">
              <w:rPr>
                <w:color w:val="000000"/>
              </w:rPr>
              <w:t>0.05</w:t>
            </w:r>
          </w:p>
        </w:tc>
        <w:tc>
          <w:tcPr>
            <w:tcW w:w="1316" w:type="dxa"/>
            <w:tcBorders>
              <w:top w:val="nil"/>
              <w:left w:val="nil"/>
              <w:bottom w:val="nil"/>
              <w:right w:val="nil"/>
            </w:tcBorders>
            <w:shd w:val="clear" w:color="auto" w:fill="auto"/>
            <w:noWrap/>
            <w:vAlign w:val="bottom"/>
            <w:hideMark/>
          </w:tcPr>
          <w:p w14:paraId="6BD3C791" w14:textId="77777777" w:rsidR="0008131C" w:rsidRPr="0008131C" w:rsidRDefault="0008131C" w:rsidP="00007E4A">
            <w:pPr>
              <w:jc w:val="right"/>
              <w:rPr>
                <w:color w:val="000000"/>
              </w:rPr>
            </w:pPr>
            <w:r w:rsidRPr="0008131C">
              <w:rPr>
                <w:color w:val="000000"/>
              </w:rPr>
              <w:t>p</w:t>
            </w:r>
            <w:r w:rsidR="002007C7">
              <w:rPr>
                <w:color w:val="000000"/>
              </w:rPr>
              <w:t>=</w:t>
            </w:r>
          </w:p>
        </w:tc>
        <w:tc>
          <w:tcPr>
            <w:tcW w:w="1316" w:type="dxa"/>
            <w:tcBorders>
              <w:top w:val="nil"/>
              <w:left w:val="nil"/>
              <w:bottom w:val="nil"/>
              <w:right w:val="nil"/>
            </w:tcBorders>
            <w:shd w:val="clear" w:color="auto" w:fill="auto"/>
            <w:noWrap/>
            <w:vAlign w:val="bottom"/>
            <w:hideMark/>
          </w:tcPr>
          <w:p w14:paraId="369C0847" w14:textId="77777777" w:rsidR="0008131C" w:rsidRPr="0008131C" w:rsidRDefault="0008131C" w:rsidP="00007E4A">
            <w:pPr>
              <w:jc w:val="right"/>
              <w:rPr>
                <w:color w:val="000000"/>
              </w:rPr>
            </w:pPr>
            <w:r w:rsidRPr="0008131C">
              <w:rPr>
                <w:color w:val="000000"/>
              </w:rPr>
              <w:t>-0.50</w:t>
            </w:r>
          </w:p>
        </w:tc>
      </w:tr>
      <w:tr w:rsidR="0008131C" w:rsidRPr="0008131C" w14:paraId="12A68CC1" w14:textId="77777777" w:rsidTr="0008131C">
        <w:trPr>
          <w:trHeight w:val="320"/>
        </w:trPr>
        <w:tc>
          <w:tcPr>
            <w:tcW w:w="1442" w:type="dxa"/>
            <w:tcBorders>
              <w:top w:val="nil"/>
              <w:left w:val="nil"/>
              <w:bottom w:val="nil"/>
              <w:right w:val="nil"/>
            </w:tcBorders>
            <w:shd w:val="clear" w:color="auto" w:fill="auto"/>
            <w:noWrap/>
            <w:vAlign w:val="bottom"/>
            <w:hideMark/>
          </w:tcPr>
          <w:p w14:paraId="775B63E7" w14:textId="77777777" w:rsidR="0008131C" w:rsidRPr="0008131C" w:rsidRDefault="002007C7" w:rsidP="00007E4A">
            <w:pPr>
              <w:jc w:val="right"/>
              <w:rPr>
                <w:color w:val="000000"/>
              </w:rPr>
            </w:pPr>
            <w:r>
              <w:rPr>
                <w:color w:val="000000"/>
              </w:rPr>
              <w:t>s=</w:t>
            </w:r>
            <w:r w:rsidR="0008131C" w:rsidRPr="0008131C">
              <w:rPr>
                <w:color w:val="000000"/>
              </w:rPr>
              <w:t xml:space="preserve"> </w:t>
            </w:r>
          </w:p>
        </w:tc>
        <w:tc>
          <w:tcPr>
            <w:tcW w:w="1354" w:type="dxa"/>
            <w:tcBorders>
              <w:top w:val="nil"/>
              <w:left w:val="nil"/>
              <w:bottom w:val="nil"/>
              <w:right w:val="nil"/>
            </w:tcBorders>
            <w:shd w:val="clear" w:color="auto" w:fill="auto"/>
            <w:noWrap/>
            <w:vAlign w:val="bottom"/>
            <w:hideMark/>
          </w:tcPr>
          <w:p w14:paraId="08149161" w14:textId="77777777" w:rsidR="0008131C" w:rsidRPr="0008131C" w:rsidRDefault="0008131C" w:rsidP="00007E4A">
            <w:pPr>
              <w:jc w:val="right"/>
              <w:rPr>
                <w:color w:val="000000"/>
              </w:rPr>
            </w:pPr>
            <w:r w:rsidRPr="0008131C">
              <w:rPr>
                <w:color w:val="000000"/>
              </w:rPr>
              <w:t>0.22</w:t>
            </w:r>
          </w:p>
        </w:tc>
        <w:tc>
          <w:tcPr>
            <w:tcW w:w="1316" w:type="dxa"/>
            <w:tcBorders>
              <w:top w:val="nil"/>
              <w:left w:val="nil"/>
              <w:bottom w:val="nil"/>
              <w:right w:val="nil"/>
            </w:tcBorders>
            <w:shd w:val="clear" w:color="auto" w:fill="auto"/>
            <w:noWrap/>
            <w:vAlign w:val="bottom"/>
            <w:hideMark/>
          </w:tcPr>
          <w:p w14:paraId="1819DE7A" w14:textId="77777777" w:rsidR="0008131C" w:rsidRPr="0008131C" w:rsidRDefault="0008131C" w:rsidP="00007E4A">
            <w:pPr>
              <w:jc w:val="right"/>
            </w:pPr>
            <w:r w:rsidRPr="0008131C">
              <w:t>s</w:t>
            </w:r>
            <w:r w:rsidR="002007C7">
              <w:t>=</w:t>
            </w:r>
            <w:r w:rsidRPr="0008131C">
              <w:t xml:space="preserve"> </w:t>
            </w:r>
          </w:p>
        </w:tc>
        <w:tc>
          <w:tcPr>
            <w:tcW w:w="1316" w:type="dxa"/>
            <w:tcBorders>
              <w:top w:val="nil"/>
              <w:left w:val="nil"/>
              <w:bottom w:val="nil"/>
              <w:right w:val="nil"/>
            </w:tcBorders>
            <w:shd w:val="clear" w:color="auto" w:fill="auto"/>
            <w:noWrap/>
            <w:vAlign w:val="bottom"/>
            <w:hideMark/>
          </w:tcPr>
          <w:p w14:paraId="3378B68D" w14:textId="77777777" w:rsidR="0008131C" w:rsidRPr="0008131C" w:rsidRDefault="0008131C" w:rsidP="00007E4A">
            <w:pPr>
              <w:jc w:val="right"/>
              <w:rPr>
                <w:color w:val="000000"/>
              </w:rPr>
            </w:pPr>
            <w:r w:rsidRPr="0008131C">
              <w:rPr>
                <w:color w:val="000000"/>
              </w:rPr>
              <w:t>0.22</w:t>
            </w:r>
          </w:p>
        </w:tc>
        <w:tc>
          <w:tcPr>
            <w:tcW w:w="1316" w:type="dxa"/>
            <w:tcBorders>
              <w:top w:val="nil"/>
              <w:left w:val="nil"/>
              <w:bottom w:val="nil"/>
              <w:right w:val="nil"/>
            </w:tcBorders>
            <w:shd w:val="clear" w:color="auto" w:fill="auto"/>
            <w:noWrap/>
            <w:vAlign w:val="bottom"/>
            <w:hideMark/>
          </w:tcPr>
          <w:p w14:paraId="39001CF5" w14:textId="77777777" w:rsidR="0008131C" w:rsidRPr="0008131C" w:rsidRDefault="002007C7" w:rsidP="00007E4A">
            <w:pPr>
              <w:jc w:val="right"/>
              <w:rPr>
                <w:color w:val="000000"/>
              </w:rPr>
            </w:pPr>
            <w:proofErr w:type="spellStart"/>
            <w:r w:rsidRPr="0008131C">
              <w:rPr>
                <w:color w:val="000000"/>
              </w:rPr>
              <w:t>S</w:t>
            </w:r>
            <w:r w:rsidR="0008131C" w:rsidRPr="0008131C">
              <w:rPr>
                <w:color w:val="000000"/>
              </w:rPr>
              <w:t>v</w:t>
            </w:r>
            <w:proofErr w:type="spellEnd"/>
            <w:r>
              <w:rPr>
                <w:color w:val="000000"/>
              </w:rPr>
              <w:t>=</w:t>
            </w:r>
            <w:r w:rsidR="0008131C" w:rsidRPr="0008131C">
              <w:rPr>
                <w:color w:val="000000"/>
              </w:rPr>
              <w:t xml:space="preserve"> </w:t>
            </w:r>
          </w:p>
        </w:tc>
        <w:tc>
          <w:tcPr>
            <w:tcW w:w="1316" w:type="dxa"/>
            <w:tcBorders>
              <w:top w:val="nil"/>
              <w:left w:val="nil"/>
              <w:bottom w:val="nil"/>
              <w:right w:val="nil"/>
            </w:tcBorders>
            <w:shd w:val="clear" w:color="auto" w:fill="auto"/>
            <w:noWrap/>
            <w:vAlign w:val="bottom"/>
            <w:hideMark/>
          </w:tcPr>
          <w:p w14:paraId="5463C5C2" w14:textId="77777777" w:rsidR="0008131C" w:rsidRPr="0008131C" w:rsidRDefault="0008131C" w:rsidP="00007E4A">
            <w:pPr>
              <w:jc w:val="right"/>
              <w:rPr>
                <w:color w:val="000000"/>
              </w:rPr>
            </w:pPr>
            <w:r w:rsidRPr="0008131C">
              <w:rPr>
                <w:color w:val="000000"/>
              </w:rPr>
              <w:t>0.22</w:t>
            </w:r>
          </w:p>
        </w:tc>
      </w:tr>
      <w:tr w:rsidR="0008131C" w:rsidRPr="0008131C" w14:paraId="4DD41282" w14:textId="77777777" w:rsidTr="0008131C">
        <w:trPr>
          <w:trHeight w:val="320"/>
        </w:trPr>
        <w:tc>
          <w:tcPr>
            <w:tcW w:w="1442" w:type="dxa"/>
            <w:tcBorders>
              <w:top w:val="nil"/>
              <w:left w:val="nil"/>
              <w:bottom w:val="nil"/>
              <w:right w:val="nil"/>
            </w:tcBorders>
            <w:shd w:val="clear" w:color="auto" w:fill="auto"/>
            <w:noWrap/>
            <w:vAlign w:val="bottom"/>
            <w:hideMark/>
          </w:tcPr>
          <w:p w14:paraId="1A728376" w14:textId="77777777" w:rsidR="0008131C" w:rsidRPr="0008131C" w:rsidRDefault="002007C7" w:rsidP="00007E4A">
            <w:pPr>
              <w:jc w:val="right"/>
              <w:rPr>
                <w:color w:val="000000"/>
              </w:rPr>
            </w:pPr>
            <w:r>
              <w:rPr>
                <w:color w:val="000000"/>
              </w:rPr>
              <w:t>t=</w:t>
            </w:r>
          </w:p>
        </w:tc>
        <w:tc>
          <w:tcPr>
            <w:tcW w:w="1354" w:type="dxa"/>
            <w:tcBorders>
              <w:top w:val="nil"/>
              <w:left w:val="nil"/>
              <w:bottom w:val="nil"/>
              <w:right w:val="nil"/>
            </w:tcBorders>
            <w:shd w:val="clear" w:color="auto" w:fill="auto"/>
            <w:noWrap/>
            <w:vAlign w:val="bottom"/>
            <w:hideMark/>
          </w:tcPr>
          <w:p w14:paraId="3629F3F3" w14:textId="77777777" w:rsidR="0008131C" w:rsidRPr="0008131C" w:rsidRDefault="0008131C" w:rsidP="00007E4A">
            <w:pPr>
              <w:jc w:val="right"/>
              <w:rPr>
                <w:color w:val="000000"/>
              </w:rPr>
            </w:pPr>
            <w:r w:rsidRPr="0008131C">
              <w:rPr>
                <w:color w:val="000000"/>
              </w:rPr>
              <w:t>2.00</w:t>
            </w:r>
          </w:p>
        </w:tc>
        <w:tc>
          <w:tcPr>
            <w:tcW w:w="1316" w:type="dxa"/>
            <w:tcBorders>
              <w:top w:val="nil"/>
              <w:left w:val="nil"/>
              <w:bottom w:val="nil"/>
              <w:right w:val="nil"/>
            </w:tcBorders>
            <w:shd w:val="clear" w:color="auto" w:fill="auto"/>
            <w:noWrap/>
            <w:vAlign w:val="bottom"/>
            <w:hideMark/>
          </w:tcPr>
          <w:p w14:paraId="02807FF5" w14:textId="77777777" w:rsidR="0008131C" w:rsidRPr="0008131C" w:rsidRDefault="0008131C" w:rsidP="00007E4A">
            <w:pPr>
              <w:jc w:val="right"/>
              <w:rPr>
                <w:color w:val="000000"/>
              </w:rPr>
            </w:pPr>
            <w:r w:rsidRPr="0008131C">
              <w:rPr>
                <w:color w:val="000000"/>
              </w:rPr>
              <w:t>t</w:t>
            </w:r>
            <w:r w:rsidR="002007C7">
              <w:rPr>
                <w:color w:val="000000"/>
              </w:rPr>
              <w:t>=</w:t>
            </w:r>
          </w:p>
        </w:tc>
        <w:tc>
          <w:tcPr>
            <w:tcW w:w="1316" w:type="dxa"/>
            <w:tcBorders>
              <w:top w:val="nil"/>
              <w:left w:val="nil"/>
              <w:bottom w:val="nil"/>
              <w:right w:val="nil"/>
            </w:tcBorders>
            <w:shd w:val="clear" w:color="auto" w:fill="auto"/>
            <w:noWrap/>
            <w:vAlign w:val="bottom"/>
            <w:hideMark/>
          </w:tcPr>
          <w:p w14:paraId="16B982D8" w14:textId="77777777" w:rsidR="0008131C" w:rsidRPr="0008131C" w:rsidRDefault="0008131C" w:rsidP="00007E4A">
            <w:pPr>
              <w:jc w:val="right"/>
              <w:rPr>
                <w:color w:val="000000"/>
              </w:rPr>
            </w:pPr>
            <w:r w:rsidRPr="0008131C">
              <w:rPr>
                <w:color w:val="000000"/>
              </w:rPr>
              <w:t>2.00</w:t>
            </w:r>
          </w:p>
        </w:tc>
        <w:tc>
          <w:tcPr>
            <w:tcW w:w="1316" w:type="dxa"/>
            <w:tcBorders>
              <w:top w:val="nil"/>
              <w:left w:val="nil"/>
              <w:bottom w:val="nil"/>
              <w:right w:val="nil"/>
            </w:tcBorders>
            <w:shd w:val="clear" w:color="auto" w:fill="auto"/>
            <w:noWrap/>
            <w:vAlign w:val="bottom"/>
            <w:hideMark/>
          </w:tcPr>
          <w:p w14:paraId="65DD4BB8" w14:textId="77777777" w:rsidR="0008131C" w:rsidRPr="0008131C" w:rsidRDefault="0008131C" w:rsidP="00007E4A">
            <w:pPr>
              <w:jc w:val="right"/>
              <w:rPr>
                <w:color w:val="000000"/>
              </w:rPr>
            </w:pPr>
            <w:proofErr w:type="spellStart"/>
            <w:r w:rsidRPr="0008131C">
              <w:rPr>
                <w:color w:val="000000"/>
              </w:rPr>
              <w:t>sI</w:t>
            </w:r>
            <w:proofErr w:type="spellEnd"/>
            <w:r w:rsidR="002007C7">
              <w:rPr>
                <w:color w:val="000000"/>
              </w:rPr>
              <w:t>=</w:t>
            </w:r>
          </w:p>
        </w:tc>
        <w:tc>
          <w:tcPr>
            <w:tcW w:w="1316" w:type="dxa"/>
            <w:tcBorders>
              <w:top w:val="nil"/>
              <w:left w:val="nil"/>
              <w:bottom w:val="nil"/>
              <w:right w:val="nil"/>
            </w:tcBorders>
            <w:shd w:val="clear" w:color="auto" w:fill="auto"/>
            <w:noWrap/>
            <w:vAlign w:val="bottom"/>
            <w:hideMark/>
          </w:tcPr>
          <w:p w14:paraId="75AECBF9" w14:textId="77777777" w:rsidR="0008131C" w:rsidRPr="0008131C" w:rsidRDefault="0008131C" w:rsidP="00007E4A">
            <w:pPr>
              <w:jc w:val="right"/>
              <w:rPr>
                <w:color w:val="000000"/>
              </w:rPr>
            </w:pPr>
            <w:r w:rsidRPr="0008131C">
              <w:rPr>
                <w:color w:val="000000"/>
              </w:rPr>
              <w:t>0.15</w:t>
            </w:r>
          </w:p>
        </w:tc>
      </w:tr>
      <w:tr w:rsidR="0008131C" w:rsidRPr="0008131C" w14:paraId="32130881" w14:textId="77777777" w:rsidTr="00796090">
        <w:trPr>
          <w:trHeight w:val="320"/>
        </w:trPr>
        <w:tc>
          <w:tcPr>
            <w:tcW w:w="1442" w:type="dxa"/>
            <w:tcBorders>
              <w:top w:val="nil"/>
              <w:left w:val="nil"/>
              <w:right w:val="nil"/>
            </w:tcBorders>
            <w:shd w:val="clear" w:color="auto" w:fill="auto"/>
            <w:noWrap/>
            <w:vAlign w:val="bottom"/>
            <w:hideMark/>
          </w:tcPr>
          <w:p w14:paraId="5BD6D33A" w14:textId="77777777" w:rsidR="0008131C" w:rsidRPr="0008131C" w:rsidRDefault="0008131C" w:rsidP="00007E4A">
            <w:pPr>
              <w:jc w:val="right"/>
              <w:rPr>
                <w:color w:val="000000"/>
              </w:rPr>
            </w:pPr>
            <w:r w:rsidRPr="0008131C">
              <w:rPr>
                <w:color w:val="000000"/>
              </w:rPr>
              <w:t>Exp(-</w:t>
            </w:r>
            <w:proofErr w:type="spellStart"/>
            <w:r w:rsidRPr="0008131C">
              <w:rPr>
                <w:color w:val="000000"/>
              </w:rPr>
              <w:t>r_</w:t>
            </w:r>
            <w:proofErr w:type="gramStart"/>
            <w:r w:rsidRPr="0008131C">
              <w:rPr>
                <w:color w:val="000000"/>
              </w:rPr>
              <w:t>T</w:t>
            </w:r>
            <w:proofErr w:type="spellEnd"/>
            <w:r w:rsidRPr="0008131C">
              <w:rPr>
                <w:color w:val="000000"/>
              </w:rPr>
              <w:t>)</w:t>
            </w:r>
            <w:r w:rsidR="002007C7">
              <w:rPr>
                <w:color w:val="000000"/>
              </w:rPr>
              <w:t>=</w:t>
            </w:r>
            <w:proofErr w:type="gramEnd"/>
          </w:p>
        </w:tc>
        <w:tc>
          <w:tcPr>
            <w:tcW w:w="1354" w:type="dxa"/>
            <w:tcBorders>
              <w:top w:val="nil"/>
              <w:left w:val="nil"/>
              <w:right w:val="nil"/>
            </w:tcBorders>
            <w:shd w:val="clear" w:color="auto" w:fill="auto"/>
            <w:noWrap/>
            <w:vAlign w:val="bottom"/>
            <w:hideMark/>
          </w:tcPr>
          <w:p w14:paraId="5B723548" w14:textId="77777777" w:rsidR="0008131C" w:rsidRPr="0008131C" w:rsidRDefault="0008131C" w:rsidP="00007E4A">
            <w:pPr>
              <w:jc w:val="right"/>
              <w:rPr>
                <w:color w:val="000000"/>
              </w:rPr>
            </w:pPr>
            <w:r w:rsidRPr="0008131C">
              <w:rPr>
                <w:color w:val="000000"/>
              </w:rPr>
              <w:t>0.90</w:t>
            </w:r>
          </w:p>
        </w:tc>
        <w:tc>
          <w:tcPr>
            <w:tcW w:w="1316" w:type="dxa"/>
            <w:tcBorders>
              <w:top w:val="nil"/>
              <w:left w:val="nil"/>
              <w:right w:val="nil"/>
            </w:tcBorders>
            <w:shd w:val="clear" w:color="auto" w:fill="auto"/>
            <w:noWrap/>
            <w:vAlign w:val="bottom"/>
            <w:hideMark/>
          </w:tcPr>
          <w:p w14:paraId="4772E37F" w14:textId="77777777" w:rsidR="0008131C" w:rsidRPr="0008131C" w:rsidRDefault="0008131C" w:rsidP="00007E4A">
            <w:pPr>
              <w:jc w:val="right"/>
              <w:rPr>
                <w:color w:val="000000"/>
              </w:rPr>
            </w:pPr>
            <w:r w:rsidRPr="0008131C">
              <w:rPr>
                <w:color w:val="000000"/>
              </w:rPr>
              <w:t>Exp(-</w:t>
            </w:r>
            <w:proofErr w:type="spellStart"/>
            <w:r w:rsidRPr="0008131C">
              <w:rPr>
                <w:color w:val="000000"/>
              </w:rPr>
              <w:t>r_T</w:t>
            </w:r>
            <w:proofErr w:type="spellEnd"/>
            <w:r w:rsidRPr="0008131C">
              <w:rPr>
                <w:color w:val="000000"/>
              </w:rPr>
              <w:t>)</w:t>
            </w:r>
          </w:p>
        </w:tc>
        <w:tc>
          <w:tcPr>
            <w:tcW w:w="1316" w:type="dxa"/>
            <w:tcBorders>
              <w:top w:val="nil"/>
              <w:left w:val="nil"/>
              <w:right w:val="nil"/>
            </w:tcBorders>
            <w:shd w:val="clear" w:color="auto" w:fill="auto"/>
            <w:noWrap/>
            <w:vAlign w:val="bottom"/>
            <w:hideMark/>
          </w:tcPr>
          <w:p w14:paraId="1D8E5EE6" w14:textId="77777777" w:rsidR="0008131C" w:rsidRPr="0008131C" w:rsidRDefault="0008131C" w:rsidP="00007E4A">
            <w:pPr>
              <w:jc w:val="right"/>
              <w:rPr>
                <w:color w:val="000000"/>
              </w:rPr>
            </w:pPr>
            <w:r w:rsidRPr="0008131C">
              <w:rPr>
                <w:color w:val="000000"/>
              </w:rPr>
              <w:t>0.90</w:t>
            </w:r>
          </w:p>
        </w:tc>
        <w:tc>
          <w:tcPr>
            <w:tcW w:w="1316" w:type="dxa"/>
            <w:tcBorders>
              <w:top w:val="nil"/>
              <w:left w:val="nil"/>
              <w:right w:val="nil"/>
            </w:tcBorders>
            <w:shd w:val="clear" w:color="auto" w:fill="auto"/>
            <w:noWrap/>
            <w:vAlign w:val="bottom"/>
            <w:hideMark/>
          </w:tcPr>
          <w:p w14:paraId="79DB5646" w14:textId="77777777" w:rsidR="0008131C" w:rsidRPr="0008131C" w:rsidRDefault="0008131C" w:rsidP="00007E4A">
            <w:pPr>
              <w:jc w:val="right"/>
              <w:rPr>
                <w:color w:val="000000"/>
              </w:rPr>
            </w:pPr>
            <w:r w:rsidRPr="0008131C">
              <w:rPr>
                <w:color w:val="000000"/>
              </w:rPr>
              <w:t>t</w:t>
            </w:r>
            <w:r w:rsidR="002007C7">
              <w:rPr>
                <w:color w:val="000000"/>
              </w:rPr>
              <w:t>=</w:t>
            </w:r>
          </w:p>
        </w:tc>
        <w:tc>
          <w:tcPr>
            <w:tcW w:w="1316" w:type="dxa"/>
            <w:tcBorders>
              <w:top w:val="nil"/>
              <w:left w:val="nil"/>
              <w:right w:val="nil"/>
            </w:tcBorders>
            <w:shd w:val="clear" w:color="auto" w:fill="auto"/>
            <w:noWrap/>
            <w:vAlign w:val="bottom"/>
            <w:hideMark/>
          </w:tcPr>
          <w:p w14:paraId="6E89A886" w14:textId="77777777" w:rsidR="0008131C" w:rsidRPr="0008131C" w:rsidRDefault="0008131C" w:rsidP="00007E4A">
            <w:pPr>
              <w:jc w:val="right"/>
              <w:rPr>
                <w:color w:val="000000"/>
              </w:rPr>
            </w:pPr>
            <w:r w:rsidRPr="0008131C">
              <w:rPr>
                <w:color w:val="000000"/>
              </w:rPr>
              <w:t>2.00</w:t>
            </w:r>
          </w:p>
        </w:tc>
      </w:tr>
      <w:tr w:rsidR="0008131C" w:rsidRPr="0008131C" w14:paraId="38D84F04" w14:textId="77777777" w:rsidTr="00796090">
        <w:trPr>
          <w:trHeight w:val="320"/>
        </w:trPr>
        <w:tc>
          <w:tcPr>
            <w:tcW w:w="1442" w:type="dxa"/>
            <w:tcBorders>
              <w:top w:val="nil"/>
              <w:left w:val="nil"/>
              <w:bottom w:val="single" w:sz="2" w:space="0" w:color="auto"/>
              <w:right w:val="nil"/>
            </w:tcBorders>
            <w:shd w:val="clear" w:color="auto" w:fill="auto"/>
            <w:noWrap/>
            <w:vAlign w:val="bottom"/>
            <w:hideMark/>
          </w:tcPr>
          <w:p w14:paraId="1F39FF07" w14:textId="77777777" w:rsidR="0008131C" w:rsidRPr="0008131C" w:rsidRDefault="0008131C" w:rsidP="00007E4A">
            <w:pPr>
              <w:jc w:val="right"/>
              <w:rPr>
                <w:color w:val="000000"/>
              </w:rPr>
            </w:pPr>
          </w:p>
        </w:tc>
        <w:tc>
          <w:tcPr>
            <w:tcW w:w="1354" w:type="dxa"/>
            <w:tcBorders>
              <w:top w:val="nil"/>
              <w:left w:val="nil"/>
              <w:bottom w:val="single" w:sz="2" w:space="0" w:color="auto"/>
              <w:right w:val="nil"/>
            </w:tcBorders>
            <w:shd w:val="clear" w:color="auto" w:fill="auto"/>
            <w:noWrap/>
            <w:vAlign w:val="bottom"/>
            <w:hideMark/>
          </w:tcPr>
          <w:p w14:paraId="0EF971EF" w14:textId="77777777" w:rsidR="0008131C" w:rsidRPr="0008131C" w:rsidRDefault="0008131C" w:rsidP="00007E4A">
            <w:pPr>
              <w:jc w:val="right"/>
              <w:rPr>
                <w:sz w:val="20"/>
                <w:szCs w:val="20"/>
              </w:rPr>
            </w:pPr>
          </w:p>
        </w:tc>
        <w:tc>
          <w:tcPr>
            <w:tcW w:w="1316" w:type="dxa"/>
            <w:tcBorders>
              <w:top w:val="nil"/>
              <w:left w:val="nil"/>
              <w:bottom w:val="single" w:sz="2" w:space="0" w:color="auto"/>
              <w:right w:val="nil"/>
            </w:tcBorders>
            <w:shd w:val="clear" w:color="auto" w:fill="auto"/>
            <w:noWrap/>
            <w:vAlign w:val="bottom"/>
            <w:hideMark/>
          </w:tcPr>
          <w:p w14:paraId="12948EC1" w14:textId="77777777" w:rsidR="0008131C" w:rsidRPr="0008131C" w:rsidRDefault="0008131C" w:rsidP="00007E4A">
            <w:pPr>
              <w:jc w:val="right"/>
              <w:rPr>
                <w:sz w:val="20"/>
                <w:szCs w:val="20"/>
              </w:rPr>
            </w:pPr>
          </w:p>
        </w:tc>
        <w:tc>
          <w:tcPr>
            <w:tcW w:w="1316" w:type="dxa"/>
            <w:tcBorders>
              <w:top w:val="nil"/>
              <w:left w:val="nil"/>
              <w:bottom w:val="single" w:sz="2" w:space="0" w:color="auto"/>
              <w:right w:val="nil"/>
            </w:tcBorders>
            <w:shd w:val="clear" w:color="auto" w:fill="auto"/>
            <w:noWrap/>
            <w:vAlign w:val="bottom"/>
            <w:hideMark/>
          </w:tcPr>
          <w:p w14:paraId="68354D0A" w14:textId="77777777" w:rsidR="0008131C" w:rsidRPr="0008131C" w:rsidRDefault="0008131C" w:rsidP="00007E4A">
            <w:pPr>
              <w:jc w:val="right"/>
              <w:rPr>
                <w:sz w:val="20"/>
                <w:szCs w:val="20"/>
              </w:rPr>
            </w:pPr>
          </w:p>
        </w:tc>
        <w:tc>
          <w:tcPr>
            <w:tcW w:w="1316" w:type="dxa"/>
            <w:tcBorders>
              <w:top w:val="nil"/>
              <w:left w:val="nil"/>
              <w:bottom w:val="single" w:sz="2" w:space="0" w:color="auto"/>
              <w:right w:val="nil"/>
            </w:tcBorders>
            <w:shd w:val="clear" w:color="auto" w:fill="auto"/>
            <w:noWrap/>
            <w:vAlign w:val="bottom"/>
            <w:hideMark/>
          </w:tcPr>
          <w:p w14:paraId="5FD96B0C" w14:textId="77777777" w:rsidR="0008131C" w:rsidRPr="0008131C" w:rsidRDefault="0008131C" w:rsidP="00007E4A">
            <w:pPr>
              <w:jc w:val="right"/>
              <w:rPr>
                <w:color w:val="000000"/>
              </w:rPr>
            </w:pPr>
            <w:r w:rsidRPr="0008131C">
              <w:rPr>
                <w:color w:val="000000"/>
              </w:rPr>
              <w:t>Exp(-</w:t>
            </w:r>
            <w:proofErr w:type="spellStart"/>
            <w:r w:rsidRPr="0008131C">
              <w:rPr>
                <w:color w:val="000000"/>
              </w:rPr>
              <w:t>r_T</w:t>
            </w:r>
            <w:proofErr w:type="spellEnd"/>
            <w:r w:rsidRPr="0008131C">
              <w:rPr>
                <w:color w:val="000000"/>
              </w:rPr>
              <w:t>)</w:t>
            </w:r>
          </w:p>
        </w:tc>
        <w:tc>
          <w:tcPr>
            <w:tcW w:w="1316" w:type="dxa"/>
            <w:tcBorders>
              <w:top w:val="nil"/>
              <w:left w:val="nil"/>
              <w:bottom w:val="single" w:sz="2" w:space="0" w:color="auto"/>
              <w:right w:val="nil"/>
            </w:tcBorders>
            <w:shd w:val="clear" w:color="auto" w:fill="auto"/>
            <w:noWrap/>
            <w:vAlign w:val="bottom"/>
            <w:hideMark/>
          </w:tcPr>
          <w:p w14:paraId="32EC9336" w14:textId="77777777" w:rsidR="0008131C" w:rsidRPr="0008131C" w:rsidRDefault="0008131C" w:rsidP="00007E4A">
            <w:pPr>
              <w:jc w:val="right"/>
              <w:rPr>
                <w:color w:val="000000"/>
              </w:rPr>
            </w:pPr>
            <w:r w:rsidRPr="0008131C">
              <w:rPr>
                <w:color w:val="000000"/>
              </w:rPr>
              <w:t>2.72</w:t>
            </w:r>
          </w:p>
        </w:tc>
      </w:tr>
    </w:tbl>
    <w:p w14:paraId="5D5C2278" w14:textId="77777777" w:rsidR="00407D3B" w:rsidRDefault="0008131C" w:rsidP="00407D3B">
      <w:pPr>
        <w:spacing w:after="120" w:line="360" w:lineRule="auto"/>
        <w:jc w:val="both"/>
        <w:rPr>
          <w:b/>
          <w:bCs/>
        </w:rPr>
      </w:pPr>
      <w:r>
        <w:rPr>
          <w:b/>
          <w:bCs/>
        </w:rPr>
        <w:t xml:space="preserve"> </w:t>
      </w:r>
    </w:p>
    <w:p w14:paraId="415C09B5" w14:textId="77777777" w:rsidR="000A5CCE" w:rsidRDefault="00D31A76" w:rsidP="000A5CCE">
      <w:pPr>
        <w:spacing w:after="120" w:line="360" w:lineRule="auto"/>
        <w:jc w:val="both"/>
        <w:rPr>
          <w:b/>
          <w:bCs/>
        </w:rPr>
      </w:pPr>
      <w:r>
        <w:rPr>
          <w:b/>
          <w:bCs/>
        </w:rPr>
        <w:br w:type="page"/>
      </w:r>
      <w:r w:rsidR="000A5CCE">
        <w:rPr>
          <w:b/>
          <w:bCs/>
        </w:rPr>
        <w:lastRenderedPageBreak/>
        <w:t>Appendix 2</w:t>
      </w:r>
    </w:p>
    <w:p w14:paraId="02ED384E" w14:textId="77777777" w:rsidR="000A5CCE" w:rsidRDefault="000A5CCE" w:rsidP="000A5CCE">
      <w:pPr>
        <w:rPr>
          <w:color w:val="000000"/>
        </w:rPr>
      </w:pPr>
      <w:r w:rsidRPr="0008131C">
        <w:rPr>
          <w:color w:val="000000"/>
        </w:rPr>
        <w:t>Parameter values</w:t>
      </w:r>
      <w:r>
        <w:rPr>
          <w:color w:val="000000"/>
        </w:rPr>
        <w:t xml:space="preserve"> of simulations real options: Defer, Switch, Abandon</w:t>
      </w:r>
    </w:p>
    <w:p w14:paraId="6195B537" w14:textId="77777777" w:rsidR="000A5CCE" w:rsidRPr="00407D3B" w:rsidRDefault="000A5CCE" w:rsidP="000A5CCE">
      <w:pPr>
        <w:rPr>
          <w:color w:val="000000"/>
        </w:rPr>
      </w:pPr>
    </w:p>
    <w:tbl>
      <w:tblPr>
        <w:tblW w:w="9040" w:type="dxa"/>
        <w:tblInd w:w="-142" w:type="dxa"/>
        <w:tblBorders>
          <w:top w:val="single" w:sz="2" w:space="0" w:color="auto"/>
          <w:bottom w:val="single" w:sz="2" w:space="0" w:color="auto"/>
        </w:tblBorders>
        <w:tblLook w:val="04A0" w:firstRow="1" w:lastRow="0" w:firstColumn="1" w:lastColumn="0" w:noHBand="0" w:noVBand="1"/>
      </w:tblPr>
      <w:tblGrid>
        <w:gridCol w:w="2047"/>
        <w:gridCol w:w="1072"/>
        <w:gridCol w:w="1903"/>
        <w:gridCol w:w="981"/>
        <w:gridCol w:w="2045"/>
        <w:gridCol w:w="992"/>
      </w:tblGrid>
      <w:tr w:rsidR="000A5CCE" w:rsidRPr="00407D3B" w14:paraId="4D6C9083" w14:textId="77777777" w:rsidTr="008E5BFC">
        <w:trPr>
          <w:trHeight w:val="320"/>
        </w:trPr>
        <w:tc>
          <w:tcPr>
            <w:tcW w:w="2047" w:type="dxa"/>
            <w:tcBorders>
              <w:bottom w:val="single" w:sz="2" w:space="0" w:color="auto"/>
            </w:tcBorders>
            <w:shd w:val="clear" w:color="auto" w:fill="auto"/>
            <w:noWrap/>
            <w:vAlign w:val="bottom"/>
            <w:hideMark/>
          </w:tcPr>
          <w:p w14:paraId="4755F79E" w14:textId="77777777" w:rsidR="000A5CCE" w:rsidRPr="00407D3B" w:rsidRDefault="000A5CCE" w:rsidP="008E5BFC">
            <w:pPr>
              <w:jc w:val="right"/>
              <w:rPr>
                <w:sz w:val="22"/>
                <w:szCs w:val="22"/>
              </w:rPr>
            </w:pPr>
            <w:r w:rsidRPr="00407D3B">
              <w:rPr>
                <w:sz w:val="22"/>
                <w:szCs w:val="22"/>
              </w:rPr>
              <w:t>Project Abandon</w:t>
            </w:r>
          </w:p>
        </w:tc>
        <w:tc>
          <w:tcPr>
            <w:tcW w:w="1072" w:type="dxa"/>
            <w:tcBorders>
              <w:bottom w:val="single" w:sz="2" w:space="0" w:color="auto"/>
            </w:tcBorders>
            <w:shd w:val="clear" w:color="auto" w:fill="auto"/>
            <w:noWrap/>
            <w:vAlign w:val="bottom"/>
            <w:hideMark/>
          </w:tcPr>
          <w:p w14:paraId="480943D0" w14:textId="77777777" w:rsidR="000A5CCE" w:rsidRPr="00407D3B" w:rsidRDefault="000A5CCE" w:rsidP="008E5BFC">
            <w:pPr>
              <w:jc w:val="right"/>
              <w:rPr>
                <w:sz w:val="22"/>
                <w:szCs w:val="22"/>
              </w:rPr>
            </w:pPr>
          </w:p>
        </w:tc>
        <w:tc>
          <w:tcPr>
            <w:tcW w:w="1903" w:type="dxa"/>
            <w:tcBorders>
              <w:bottom w:val="single" w:sz="2" w:space="0" w:color="auto"/>
            </w:tcBorders>
            <w:shd w:val="clear" w:color="auto" w:fill="auto"/>
            <w:noWrap/>
            <w:vAlign w:val="bottom"/>
            <w:hideMark/>
          </w:tcPr>
          <w:p w14:paraId="267B4D1E" w14:textId="77777777" w:rsidR="000A5CCE" w:rsidRPr="00407D3B" w:rsidRDefault="000A5CCE" w:rsidP="008E5BFC">
            <w:pPr>
              <w:jc w:val="right"/>
              <w:rPr>
                <w:color w:val="000000"/>
                <w:sz w:val="22"/>
                <w:szCs w:val="22"/>
              </w:rPr>
            </w:pPr>
            <w:r w:rsidRPr="00407D3B">
              <w:rPr>
                <w:color w:val="000000"/>
                <w:sz w:val="22"/>
                <w:szCs w:val="22"/>
              </w:rPr>
              <w:t>Project Defer</w:t>
            </w:r>
          </w:p>
        </w:tc>
        <w:tc>
          <w:tcPr>
            <w:tcW w:w="981" w:type="dxa"/>
            <w:tcBorders>
              <w:bottom w:val="single" w:sz="2" w:space="0" w:color="auto"/>
            </w:tcBorders>
            <w:shd w:val="clear" w:color="auto" w:fill="auto"/>
            <w:noWrap/>
            <w:vAlign w:val="bottom"/>
            <w:hideMark/>
          </w:tcPr>
          <w:p w14:paraId="634A4778" w14:textId="77777777" w:rsidR="000A5CCE" w:rsidRPr="00407D3B" w:rsidRDefault="000A5CCE" w:rsidP="008E5BFC">
            <w:pPr>
              <w:jc w:val="right"/>
              <w:rPr>
                <w:color w:val="000000"/>
                <w:sz w:val="22"/>
                <w:szCs w:val="22"/>
              </w:rPr>
            </w:pPr>
          </w:p>
        </w:tc>
        <w:tc>
          <w:tcPr>
            <w:tcW w:w="2045" w:type="dxa"/>
            <w:tcBorders>
              <w:bottom w:val="single" w:sz="2" w:space="0" w:color="auto"/>
            </w:tcBorders>
            <w:shd w:val="clear" w:color="auto" w:fill="auto"/>
            <w:noWrap/>
            <w:vAlign w:val="bottom"/>
            <w:hideMark/>
          </w:tcPr>
          <w:p w14:paraId="33A4C30D" w14:textId="77777777" w:rsidR="000A5CCE" w:rsidRPr="00407D3B" w:rsidRDefault="000A5CCE" w:rsidP="008E5BFC">
            <w:pPr>
              <w:jc w:val="right"/>
              <w:rPr>
                <w:color w:val="000000"/>
                <w:sz w:val="22"/>
                <w:szCs w:val="22"/>
              </w:rPr>
            </w:pPr>
            <w:r w:rsidRPr="00407D3B">
              <w:rPr>
                <w:color w:val="000000"/>
                <w:sz w:val="22"/>
                <w:szCs w:val="22"/>
              </w:rPr>
              <w:t>Project Expand</w:t>
            </w:r>
          </w:p>
        </w:tc>
        <w:tc>
          <w:tcPr>
            <w:tcW w:w="992" w:type="dxa"/>
            <w:tcBorders>
              <w:bottom w:val="single" w:sz="2" w:space="0" w:color="auto"/>
            </w:tcBorders>
            <w:shd w:val="clear" w:color="auto" w:fill="auto"/>
            <w:noWrap/>
            <w:vAlign w:val="bottom"/>
            <w:hideMark/>
          </w:tcPr>
          <w:p w14:paraId="52DB983F" w14:textId="77777777" w:rsidR="000A5CCE" w:rsidRPr="00407D3B" w:rsidRDefault="000A5CCE" w:rsidP="008E5BFC">
            <w:pPr>
              <w:jc w:val="right"/>
              <w:rPr>
                <w:color w:val="000000"/>
                <w:sz w:val="22"/>
                <w:szCs w:val="22"/>
              </w:rPr>
            </w:pPr>
          </w:p>
        </w:tc>
      </w:tr>
      <w:tr w:rsidR="000A5CCE" w:rsidRPr="00407D3B" w14:paraId="38B90068" w14:textId="77777777" w:rsidTr="008E5BFC">
        <w:trPr>
          <w:trHeight w:val="320"/>
        </w:trPr>
        <w:tc>
          <w:tcPr>
            <w:tcW w:w="2047" w:type="dxa"/>
            <w:tcBorders>
              <w:top w:val="single" w:sz="2" w:space="0" w:color="auto"/>
              <w:bottom w:val="nil"/>
            </w:tcBorders>
            <w:shd w:val="clear" w:color="auto" w:fill="auto"/>
            <w:noWrap/>
            <w:vAlign w:val="bottom"/>
            <w:hideMark/>
          </w:tcPr>
          <w:p w14:paraId="58F0D372" w14:textId="77777777" w:rsidR="000A5CCE" w:rsidRPr="00407D3B" w:rsidRDefault="000A5CCE" w:rsidP="008E5BFC">
            <w:pPr>
              <w:jc w:val="right"/>
              <w:rPr>
                <w:sz w:val="22"/>
                <w:szCs w:val="22"/>
              </w:rPr>
            </w:pPr>
            <w:r w:rsidRPr="00407D3B">
              <w:rPr>
                <w:sz w:val="22"/>
                <w:szCs w:val="22"/>
              </w:rPr>
              <w:t>Exp(-r_T2)</w:t>
            </w:r>
          </w:p>
        </w:tc>
        <w:tc>
          <w:tcPr>
            <w:tcW w:w="1072" w:type="dxa"/>
            <w:tcBorders>
              <w:top w:val="single" w:sz="2" w:space="0" w:color="auto"/>
              <w:bottom w:val="nil"/>
            </w:tcBorders>
            <w:shd w:val="clear" w:color="auto" w:fill="auto"/>
            <w:noWrap/>
            <w:vAlign w:val="bottom"/>
            <w:hideMark/>
          </w:tcPr>
          <w:p w14:paraId="29EC9ECC" w14:textId="77777777" w:rsidR="000A5CCE" w:rsidRPr="00407D3B" w:rsidRDefault="000A5CCE" w:rsidP="008E5BFC">
            <w:pPr>
              <w:jc w:val="right"/>
              <w:rPr>
                <w:color w:val="000000"/>
                <w:sz w:val="22"/>
                <w:szCs w:val="22"/>
              </w:rPr>
            </w:pPr>
            <w:r w:rsidRPr="00407D3B">
              <w:rPr>
                <w:color w:val="000000"/>
                <w:sz w:val="22"/>
                <w:szCs w:val="22"/>
              </w:rPr>
              <w:t>0.85</w:t>
            </w:r>
          </w:p>
        </w:tc>
        <w:tc>
          <w:tcPr>
            <w:tcW w:w="1903" w:type="dxa"/>
            <w:tcBorders>
              <w:top w:val="single" w:sz="2" w:space="0" w:color="auto"/>
              <w:bottom w:val="nil"/>
            </w:tcBorders>
            <w:shd w:val="clear" w:color="auto" w:fill="auto"/>
            <w:noWrap/>
            <w:vAlign w:val="bottom"/>
            <w:hideMark/>
          </w:tcPr>
          <w:p w14:paraId="7594BE8A" w14:textId="77777777" w:rsidR="000A5CCE" w:rsidRPr="00407D3B" w:rsidRDefault="000A5CCE" w:rsidP="008E5BFC">
            <w:pPr>
              <w:jc w:val="right"/>
              <w:rPr>
                <w:sz w:val="22"/>
                <w:szCs w:val="22"/>
              </w:rPr>
            </w:pPr>
            <w:r w:rsidRPr="00407D3B">
              <w:rPr>
                <w:sz w:val="22"/>
                <w:szCs w:val="22"/>
              </w:rPr>
              <w:t>Exp(-r_T2)</w:t>
            </w:r>
          </w:p>
        </w:tc>
        <w:tc>
          <w:tcPr>
            <w:tcW w:w="981" w:type="dxa"/>
            <w:tcBorders>
              <w:top w:val="single" w:sz="2" w:space="0" w:color="auto"/>
              <w:bottom w:val="nil"/>
            </w:tcBorders>
            <w:shd w:val="clear" w:color="auto" w:fill="auto"/>
            <w:noWrap/>
            <w:vAlign w:val="bottom"/>
            <w:hideMark/>
          </w:tcPr>
          <w:p w14:paraId="665EAA71" w14:textId="77777777" w:rsidR="000A5CCE" w:rsidRPr="00407D3B" w:rsidRDefault="000A5CCE" w:rsidP="008E5BFC">
            <w:pPr>
              <w:jc w:val="right"/>
              <w:rPr>
                <w:color w:val="000000"/>
                <w:sz w:val="22"/>
                <w:szCs w:val="22"/>
              </w:rPr>
            </w:pPr>
            <w:r w:rsidRPr="00407D3B">
              <w:rPr>
                <w:color w:val="000000"/>
                <w:sz w:val="22"/>
                <w:szCs w:val="22"/>
              </w:rPr>
              <w:t>0.85</w:t>
            </w:r>
          </w:p>
        </w:tc>
        <w:tc>
          <w:tcPr>
            <w:tcW w:w="2045" w:type="dxa"/>
            <w:tcBorders>
              <w:top w:val="single" w:sz="2" w:space="0" w:color="auto"/>
              <w:bottom w:val="nil"/>
            </w:tcBorders>
            <w:shd w:val="clear" w:color="auto" w:fill="auto"/>
            <w:noWrap/>
            <w:vAlign w:val="bottom"/>
            <w:hideMark/>
          </w:tcPr>
          <w:p w14:paraId="58BDAA0F" w14:textId="77777777" w:rsidR="000A5CCE" w:rsidRPr="00407D3B" w:rsidRDefault="000A5CCE" w:rsidP="008E5BFC">
            <w:pPr>
              <w:jc w:val="right"/>
              <w:rPr>
                <w:sz w:val="22"/>
                <w:szCs w:val="22"/>
              </w:rPr>
            </w:pPr>
            <w:r w:rsidRPr="00407D3B">
              <w:rPr>
                <w:sz w:val="22"/>
                <w:szCs w:val="22"/>
              </w:rPr>
              <w:t>Exp(-r_T2)</w:t>
            </w:r>
          </w:p>
        </w:tc>
        <w:tc>
          <w:tcPr>
            <w:tcW w:w="992" w:type="dxa"/>
            <w:tcBorders>
              <w:top w:val="single" w:sz="2" w:space="0" w:color="auto"/>
              <w:bottom w:val="nil"/>
            </w:tcBorders>
            <w:shd w:val="clear" w:color="auto" w:fill="auto"/>
            <w:noWrap/>
            <w:vAlign w:val="bottom"/>
            <w:hideMark/>
          </w:tcPr>
          <w:p w14:paraId="7F31E8B2" w14:textId="77777777" w:rsidR="000A5CCE" w:rsidRPr="00407D3B" w:rsidRDefault="000A5CCE" w:rsidP="008E5BFC">
            <w:pPr>
              <w:jc w:val="right"/>
              <w:rPr>
                <w:color w:val="000000"/>
                <w:sz w:val="22"/>
                <w:szCs w:val="22"/>
              </w:rPr>
            </w:pPr>
            <w:r w:rsidRPr="00407D3B">
              <w:rPr>
                <w:color w:val="000000"/>
                <w:sz w:val="22"/>
                <w:szCs w:val="22"/>
              </w:rPr>
              <w:t>0.85</w:t>
            </w:r>
          </w:p>
        </w:tc>
      </w:tr>
      <w:tr w:rsidR="000A5CCE" w:rsidRPr="00407D3B" w14:paraId="342F8BEE" w14:textId="77777777" w:rsidTr="008E5BFC">
        <w:trPr>
          <w:trHeight w:val="320"/>
        </w:trPr>
        <w:tc>
          <w:tcPr>
            <w:tcW w:w="2047" w:type="dxa"/>
            <w:tcBorders>
              <w:top w:val="nil"/>
            </w:tcBorders>
            <w:shd w:val="clear" w:color="auto" w:fill="auto"/>
            <w:noWrap/>
            <w:vAlign w:val="bottom"/>
            <w:hideMark/>
          </w:tcPr>
          <w:p w14:paraId="2C51667B" w14:textId="77777777" w:rsidR="000A5CCE" w:rsidRPr="00407D3B" w:rsidRDefault="000A5CCE" w:rsidP="008E5BFC">
            <w:pPr>
              <w:jc w:val="right"/>
              <w:rPr>
                <w:i/>
                <w:iCs/>
                <w:sz w:val="22"/>
                <w:szCs w:val="22"/>
              </w:rPr>
            </w:pPr>
            <w:r w:rsidRPr="00407D3B">
              <w:rPr>
                <w:i/>
                <w:iCs/>
                <w:sz w:val="22"/>
                <w:szCs w:val="22"/>
              </w:rPr>
              <w:t>r=</w:t>
            </w:r>
          </w:p>
        </w:tc>
        <w:tc>
          <w:tcPr>
            <w:tcW w:w="1072" w:type="dxa"/>
            <w:tcBorders>
              <w:top w:val="nil"/>
            </w:tcBorders>
            <w:shd w:val="clear" w:color="auto" w:fill="auto"/>
            <w:noWrap/>
            <w:vAlign w:val="bottom"/>
            <w:hideMark/>
          </w:tcPr>
          <w:p w14:paraId="49D54836" w14:textId="77777777" w:rsidR="000A5CCE" w:rsidRPr="00407D3B" w:rsidRDefault="000A5CCE" w:rsidP="008E5BFC">
            <w:pPr>
              <w:jc w:val="right"/>
              <w:rPr>
                <w:color w:val="000000"/>
                <w:sz w:val="22"/>
                <w:szCs w:val="22"/>
              </w:rPr>
            </w:pPr>
            <w:r w:rsidRPr="00407D3B">
              <w:rPr>
                <w:color w:val="000000"/>
                <w:sz w:val="22"/>
                <w:szCs w:val="22"/>
              </w:rPr>
              <w:t>0.04</w:t>
            </w:r>
          </w:p>
        </w:tc>
        <w:tc>
          <w:tcPr>
            <w:tcW w:w="1903" w:type="dxa"/>
            <w:tcBorders>
              <w:top w:val="nil"/>
            </w:tcBorders>
            <w:shd w:val="clear" w:color="auto" w:fill="auto"/>
            <w:noWrap/>
            <w:vAlign w:val="bottom"/>
            <w:hideMark/>
          </w:tcPr>
          <w:p w14:paraId="16401D0E" w14:textId="77777777" w:rsidR="000A5CCE" w:rsidRPr="00407D3B" w:rsidRDefault="000A5CCE" w:rsidP="008E5BFC">
            <w:pPr>
              <w:jc w:val="right"/>
              <w:rPr>
                <w:i/>
                <w:iCs/>
                <w:sz w:val="22"/>
                <w:szCs w:val="22"/>
              </w:rPr>
            </w:pPr>
            <w:r w:rsidRPr="00407D3B">
              <w:rPr>
                <w:i/>
                <w:iCs/>
                <w:sz w:val="22"/>
                <w:szCs w:val="22"/>
              </w:rPr>
              <w:t>r=</w:t>
            </w:r>
          </w:p>
        </w:tc>
        <w:tc>
          <w:tcPr>
            <w:tcW w:w="981" w:type="dxa"/>
            <w:tcBorders>
              <w:top w:val="nil"/>
            </w:tcBorders>
            <w:shd w:val="clear" w:color="auto" w:fill="auto"/>
            <w:noWrap/>
            <w:vAlign w:val="bottom"/>
            <w:hideMark/>
          </w:tcPr>
          <w:p w14:paraId="34A768F8" w14:textId="77777777" w:rsidR="000A5CCE" w:rsidRPr="00407D3B" w:rsidRDefault="000A5CCE" w:rsidP="008E5BFC">
            <w:pPr>
              <w:jc w:val="right"/>
              <w:rPr>
                <w:color w:val="000000"/>
                <w:sz w:val="22"/>
                <w:szCs w:val="22"/>
              </w:rPr>
            </w:pPr>
            <w:r w:rsidRPr="00407D3B">
              <w:rPr>
                <w:color w:val="000000"/>
                <w:sz w:val="22"/>
                <w:szCs w:val="22"/>
              </w:rPr>
              <w:t>0.04</w:t>
            </w:r>
          </w:p>
        </w:tc>
        <w:tc>
          <w:tcPr>
            <w:tcW w:w="2045" w:type="dxa"/>
            <w:tcBorders>
              <w:top w:val="nil"/>
            </w:tcBorders>
            <w:shd w:val="clear" w:color="auto" w:fill="auto"/>
            <w:noWrap/>
            <w:vAlign w:val="bottom"/>
            <w:hideMark/>
          </w:tcPr>
          <w:p w14:paraId="1572C57E" w14:textId="77777777" w:rsidR="000A5CCE" w:rsidRPr="00407D3B" w:rsidRDefault="000A5CCE" w:rsidP="008E5BFC">
            <w:pPr>
              <w:jc w:val="right"/>
              <w:rPr>
                <w:i/>
                <w:iCs/>
                <w:sz w:val="22"/>
                <w:szCs w:val="22"/>
              </w:rPr>
            </w:pPr>
            <w:r w:rsidRPr="00407D3B">
              <w:rPr>
                <w:i/>
                <w:iCs/>
                <w:sz w:val="22"/>
                <w:szCs w:val="22"/>
              </w:rPr>
              <w:t>r=</w:t>
            </w:r>
          </w:p>
        </w:tc>
        <w:tc>
          <w:tcPr>
            <w:tcW w:w="992" w:type="dxa"/>
            <w:tcBorders>
              <w:top w:val="nil"/>
            </w:tcBorders>
            <w:shd w:val="clear" w:color="auto" w:fill="auto"/>
            <w:noWrap/>
            <w:vAlign w:val="bottom"/>
            <w:hideMark/>
          </w:tcPr>
          <w:p w14:paraId="6F0F2C9E" w14:textId="77777777" w:rsidR="000A5CCE" w:rsidRPr="00407D3B" w:rsidRDefault="000A5CCE" w:rsidP="008E5BFC">
            <w:pPr>
              <w:jc w:val="right"/>
              <w:rPr>
                <w:color w:val="000000"/>
                <w:sz w:val="22"/>
                <w:szCs w:val="22"/>
              </w:rPr>
            </w:pPr>
            <w:r w:rsidRPr="00407D3B">
              <w:rPr>
                <w:color w:val="000000"/>
                <w:sz w:val="22"/>
                <w:szCs w:val="22"/>
              </w:rPr>
              <w:t>0.04</w:t>
            </w:r>
          </w:p>
        </w:tc>
      </w:tr>
      <w:tr w:rsidR="000A5CCE" w:rsidRPr="00407D3B" w14:paraId="1E9799BD" w14:textId="77777777" w:rsidTr="008E5BFC">
        <w:trPr>
          <w:trHeight w:val="320"/>
        </w:trPr>
        <w:tc>
          <w:tcPr>
            <w:tcW w:w="2047" w:type="dxa"/>
            <w:shd w:val="clear" w:color="auto" w:fill="auto"/>
            <w:noWrap/>
            <w:vAlign w:val="bottom"/>
            <w:hideMark/>
          </w:tcPr>
          <w:p w14:paraId="1F17FDE8" w14:textId="77777777" w:rsidR="000A5CCE" w:rsidRPr="00407D3B" w:rsidRDefault="000A5CCE" w:rsidP="008E5BFC">
            <w:pPr>
              <w:jc w:val="right"/>
              <w:rPr>
                <w:i/>
                <w:iCs/>
                <w:sz w:val="22"/>
                <w:szCs w:val="22"/>
              </w:rPr>
            </w:pPr>
            <w:r w:rsidRPr="00407D3B">
              <w:rPr>
                <w:i/>
                <w:iCs/>
                <w:sz w:val="22"/>
                <w:szCs w:val="22"/>
              </w:rPr>
              <w:t>s=</w:t>
            </w:r>
          </w:p>
        </w:tc>
        <w:tc>
          <w:tcPr>
            <w:tcW w:w="1072" w:type="dxa"/>
            <w:shd w:val="clear" w:color="auto" w:fill="auto"/>
            <w:noWrap/>
            <w:vAlign w:val="bottom"/>
            <w:hideMark/>
          </w:tcPr>
          <w:p w14:paraId="76747BF4" w14:textId="77777777" w:rsidR="000A5CCE" w:rsidRPr="00407D3B" w:rsidRDefault="000A5CCE" w:rsidP="008E5BFC">
            <w:pPr>
              <w:jc w:val="right"/>
              <w:rPr>
                <w:color w:val="000000"/>
                <w:sz w:val="22"/>
                <w:szCs w:val="22"/>
              </w:rPr>
            </w:pPr>
            <w:r w:rsidRPr="00407D3B">
              <w:rPr>
                <w:color w:val="000000"/>
                <w:sz w:val="22"/>
                <w:szCs w:val="22"/>
              </w:rPr>
              <w:t>0.22</w:t>
            </w:r>
          </w:p>
        </w:tc>
        <w:tc>
          <w:tcPr>
            <w:tcW w:w="1903" w:type="dxa"/>
            <w:shd w:val="clear" w:color="auto" w:fill="auto"/>
            <w:noWrap/>
            <w:vAlign w:val="bottom"/>
            <w:hideMark/>
          </w:tcPr>
          <w:p w14:paraId="6DC43533" w14:textId="77777777" w:rsidR="000A5CCE" w:rsidRPr="00407D3B" w:rsidRDefault="000A5CCE" w:rsidP="008E5BFC">
            <w:pPr>
              <w:jc w:val="right"/>
              <w:rPr>
                <w:i/>
                <w:iCs/>
                <w:sz w:val="22"/>
                <w:szCs w:val="22"/>
              </w:rPr>
            </w:pPr>
            <w:r w:rsidRPr="00407D3B">
              <w:rPr>
                <w:i/>
                <w:iCs/>
                <w:sz w:val="22"/>
                <w:szCs w:val="22"/>
              </w:rPr>
              <w:t>s=</w:t>
            </w:r>
          </w:p>
        </w:tc>
        <w:tc>
          <w:tcPr>
            <w:tcW w:w="981" w:type="dxa"/>
            <w:shd w:val="clear" w:color="auto" w:fill="auto"/>
            <w:noWrap/>
            <w:vAlign w:val="bottom"/>
            <w:hideMark/>
          </w:tcPr>
          <w:p w14:paraId="1B39E595" w14:textId="77777777" w:rsidR="000A5CCE" w:rsidRPr="00407D3B" w:rsidRDefault="000A5CCE" w:rsidP="008E5BFC">
            <w:pPr>
              <w:jc w:val="right"/>
              <w:rPr>
                <w:color w:val="000000"/>
                <w:sz w:val="22"/>
                <w:szCs w:val="22"/>
              </w:rPr>
            </w:pPr>
            <w:r w:rsidRPr="00407D3B">
              <w:rPr>
                <w:color w:val="000000"/>
                <w:sz w:val="22"/>
                <w:szCs w:val="22"/>
              </w:rPr>
              <w:t>0.22</w:t>
            </w:r>
          </w:p>
        </w:tc>
        <w:tc>
          <w:tcPr>
            <w:tcW w:w="2045" w:type="dxa"/>
            <w:shd w:val="clear" w:color="auto" w:fill="auto"/>
            <w:noWrap/>
            <w:vAlign w:val="bottom"/>
            <w:hideMark/>
          </w:tcPr>
          <w:p w14:paraId="172948F1" w14:textId="77777777" w:rsidR="000A5CCE" w:rsidRPr="00407D3B" w:rsidRDefault="000A5CCE" w:rsidP="008E5BFC">
            <w:pPr>
              <w:jc w:val="right"/>
              <w:rPr>
                <w:i/>
                <w:iCs/>
                <w:sz w:val="22"/>
                <w:szCs w:val="22"/>
              </w:rPr>
            </w:pPr>
            <w:r w:rsidRPr="00407D3B">
              <w:rPr>
                <w:i/>
                <w:iCs/>
                <w:sz w:val="22"/>
                <w:szCs w:val="22"/>
              </w:rPr>
              <w:t>s=</w:t>
            </w:r>
          </w:p>
        </w:tc>
        <w:tc>
          <w:tcPr>
            <w:tcW w:w="992" w:type="dxa"/>
            <w:shd w:val="clear" w:color="auto" w:fill="auto"/>
            <w:noWrap/>
            <w:vAlign w:val="bottom"/>
            <w:hideMark/>
          </w:tcPr>
          <w:p w14:paraId="25E007CA" w14:textId="77777777" w:rsidR="000A5CCE" w:rsidRPr="00407D3B" w:rsidRDefault="000A5CCE" w:rsidP="008E5BFC">
            <w:pPr>
              <w:jc w:val="right"/>
              <w:rPr>
                <w:color w:val="000000"/>
                <w:sz w:val="22"/>
                <w:szCs w:val="22"/>
              </w:rPr>
            </w:pPr>
            <w:r w:rsidRPr="00407D3B">
              <w:rPr>
                <w:color w:val="000000"/>
                <w:sz w:val="22"/>
                <w:szCs w:val="22"/>
              </w:rPr>
              <w:t>0.22</w:t>
            </w:r>
          </w:p>
        </w:tc>
      </w:tr>
      <w:tr w:rsidR="000A5CCE" w:rsidRPr="00407D3B" w14:paraId="65F01FFF" w14:textId="77777777" w:rsidTr="008E5BFC">
        <w:trPr>
          <w:trHeight w:val="320"/>
        </w:trPr>
        <w:tc>
          <w:tcPr>
            <w:tcW w:w="2047" w:type="dxa"/>
            <w:shd w:val="clear" w:color="auto" w:fill="auto"/>
            <w:noWrap/>
            <w:vAlign w:val="bottom"/>
            <w:hideMark/>
          </w:tcPr>
          <w:p w14:paraId="38F1BAD5" w14:textId="77777777" w:rsidR="000A5CCE" w:rsidRPr="00407D3B" w:rsidRDefault="000A5CCE" w:rsidP="008E5BFC">
            <w:pPr>
              <w:jc w:val="right"/>
              <w:rPr>
                <w:i/>
                <w:iCs/>
                <w:sz w:val="22"/>
                <w:szCs w:val="22"/>
              </w:rPr>
            </w:pPr>
            <w:r w:rsidRPr="00407D3B">
              <w:rPr>
                <w:i/>
                <w:iCs/>
                <w:sz w:val="22"/>
                <w:szCs w:val="22"/>
              </w:rPr>
              <w:t>p=</w:t>
            </w:r>
          </w:p>
        </w:tc>
        <w:tc>
          <w:tcPr>
            <w:tcW w:w="1072" w:type="dxa"/>
            <w:shd w:val="clear" w:color="auto" w:fill="auto"/>
            <w:noWrap/>
            <w:vAlign w:val="bottom"/>
            <w:hideMark/>
          </w:tcPr>
          <w:p w14:paraId="2C9948AF" w14:textId="77777777" w:rsidR="000A5CCE" w:rsidRPr="00407D3B" w:rsidRDefault="000A5CCE" w:rsidP="008E5BFC">
            <w:pPr>
              <w:jc w:val="right"/>
              <w:rPr>
                <w:color w:val="000000"/>
                <w:sz w:val="22"/>
                <w:szCs w:val="22"/>
              </w:rPr>
            </w:pPr>
            <w:r w:rsidRPr="00407D3B">
              <w:rPr>
                <w:color w:val="000000"/>
                <w:sz w:val="22"/>
                <w:szCs w:val="22"/>
              </w:rPr>
              <w:t>0.8</w:t>
            </w:r>
          </w:p>
        </w:tc>
        <w:tc>
          <w:tcPr>
            <w:tcW w:w="1903" w:type="dxa"/>
            <w:shd w:val="clear" w:color="auto" w:fill="auto"/>
            <w:noWrap/>
            <w:vAlign w:val="bottom"/>
            <w:hideMark/>
          </w:tcPr>
          <w:p w14:paraId="0F862A1C" w14:textId="77777777" w:rsidR="000A5CCE" w:rsidRPr="00407D3B" w:rsidRDefault="000A5CCE" w:rsidP="008E5BFC">
            <w:pPr>
              <w:jc w:val="right"/>
              <w:rPr>
                <w:i/>
                <w:iCs/>
                <w:sz w:val="22"/>
                <w:szCs w:val="22"/>
              </w:rPr>
            </w:pPr>
            <w:r w:rsidRPr="00407D3B">
              <w:rPr>
                <w:i/>
                <w:iCs/>
                <w:sz w:val="22"/>
                <w:szCs w:val="22"/>
              </w:rPr>
              <w:t>p=</w:t>
            </w:r>
          </w:p>
        </w:tc>
        <w:tc>
          <w:tcPr>
            <w:tcW w:w="981" w:type="dxa"/>
            <w:shd w:val="clear" w:color="auto" w:fill="auto"/>
            <w:noWrap/>
            <w:vAlign w:val="bottom"/>
            <w:hideMark/>
          </w:tcPr>
          <w:p w14:paraId="290A210E" w14:textId="77777777" w:rsidR="000A5CCE" w:rsidRPr="00407D3B" w:rsidRDefault="000A5CCE" w:rsidP="008E5BFC">
            <w:pPr>
              <w:jc w:val="right"/>
              <w:rPr>
                <w:color w:val="000000"/>
                <w:sz w:val="22"/>
                <w:szCs w:val="22"/>
              </w:rPr>
            </w:pPr>
            <w:r w:rsidRPr="00407D3B">
              <w:rPr>
                <w:color w:val="000000"/>
                <w:sz w:val="22"/>
                <w:szCs w:val="22"/>
              </w:rPr>
              <w:t>0.8</w:t>
            </w:r>
          </w:p>
        </w:tc>
        <w:tc>
          <w:tcPr>
            <w:tcW w:w="2045" w:type="dxa"/>
            <w:shd w:val="clear" w:color="auto" w:fill="auto"/>
            <w:noWrap/>
            <w:vAlign w:val="bottom"/>
            <w:hideMark/>
          </w:tcPr>
          <w:p w14:paraId="04A2E85C" w14:textId="77777777" w:rsidR="000A5CCE" w:rsidRPr="00407D3B" w:rsidRDefault="000A5CCE" w:rsidP="008E5BFC">
            <w:pPr>
              <w:jc w:val="right"/>
              <w:rPr>
                <w:i/>
                <w:iCs/>
                <w:sz w:val="22"/>
                <w:szCs w:val="22"/>
              </w:rPr>
            </w:pPr>
            <w:r w:rsidRPr="00407D3B">
              <w:rPr>
                <w:i/>
                <w:iCs/>
                <w:sz w:val="22"/>
                <w:szCs w:val="22"/>
              </w:rPr>
              <w:t>p=</w:t>
            </w:r>
          </w:p>
        </w:tc>
        <w:tc>
          <w:tcPr>
            <w:tcW w:w="992" w:type="dxa"/>
            <w:shd w:val="clear" w:color="auto" w:fill="auto"/>
            <w:noWrap/>
            <w:vAlign w:val="bottom"/>
            <w:hideMark/>
          </w:tcPr>
          <w:p w14:paraId="78B8D5D4" w14:textId="77777777" w:rsidR="000A5CCE" w:rsidRPr="00407D3B" w:rsidRDefault="000A5CCE" w:rsidP="008E5BFC">
            <w:pPr>
              <w:jc w:val="right"/>
              <w:rPr>
                <w:color w:val="000000"/>
                <w:sz w:val="22"/>
                <w:szCs w:val="22"/>
              </w:rPr>
            </w:pPr>
            <w:r w:rsidRPr="00407D3B">
              <w:rPr>
                <w:color w:val="000000"/>
                <w:sz w:val="22"/>
                <w:szCs w:val="22"/>
              </w:rPr>
              <w:t>0.8</w:t>
            </w:r>
          </w:p>
        </w:tc>
      </w:tr>
      <w:tr w:rsidR="000A5CCE" w:rsidRPr="00407D3B" w14:paraId="12844E6D" w14:textId="77777777" w:rsidTr="008E5BFC">
        <w:trPr>
          <w:trHeight w:val="320"/>
        </w:trPr>
        <w:tc>
          <w:tcPr>
            <w:tcW w:w="2047" w:type="dxa"/>
            <w:shd w:val="clear" w:color="auto" w:fill="auto"/>
            <w:noWrap/>
            <w:vAlign w:val="bottom"/>
            <w:hideMark/>
          </w:tcPr>
          <w:p w14:paraId="48086EC0" w14:textId="77777777" w:rsidR="000A5CCE" w:rsidRPr="00407D3B" w:rsidRDefault="000A5CCE" w:rsidP="008E5BFC">
            <w:pPr>
              <w:jc w:val="right"/>
              <w:rPr>
                <w:sz w:val="22"/>
                <w:szCs w:val="22"/>
              </w:rPr>
            </w:pPr>
            <w:r w:rsidRPr="00407D3B">
              <w:rPr>
                <w:sz w:val="22"/>
                <w:szCs w:val="22"/>
              </w:rPr>
              <w:t>K1=</w:t>
            </w:r>
          </w:p>
        </w:tc>
        <w:tc>
          <w:tcPr>
            <w:tcW w:w="1072" w:type="dxa"/>
            <w:shd w:val="clear" w:color="auto" w:fill="auto"/>
            <w:noWrap/>
            <w:vAlign w:val="bottom"/>
            <w:hideMark/>
          </w:tcPr>
          <w:p w14:paraId="068D91EC" w14:textId="77777777" w:rsidR="000A5CCE" w:rsidRPr="00407D3B" w:rsidRDefault="000A5CCE" w:rsidP="008E5BFC">
            <w:pPr>
              <w:jc w:val="right"/>
              <w:rPr>
                <w:color w:val="000000"/>
                <w:sz w:val="22"/>
                <w:szCs w:val="22"/>
              </w:rPr>
            </w:pPr>
            <w:r w:rsidRPr="00407D3B">
              <w:rPr>
                <w:color w:val="000000"/>
                <w:sz w:val="22"/>
                <w:szCs w:val="22"/>
              </w:rPr>
              <w:t>62</w:t>
            </w:r>
          </w:p>
        </w:tc>
        <w:tc>
          <w:tcPr>
            <w:tcW w:w="1903" w:type="dxa"/>
            <w:shd w:val="clear" w:color="auto" w:fill="auto"/>
            <w:noWrap/>
            <w:vAlign w:val="bottom"/>
            <w:hideMark/>
          </w:tcPr>
          <w:p w14:paraId="0023B9DE" w14:textId="77777777" w:rsidR="000A5CCE" w:rsidRPr="00407D3B" w:rsidRDefault="000A5CCE" w:rsidP="008E5BFC">
            <w:pPr>
              <w:jc w:val="right"/>
              <w:rPr>
                <w:sz w:val="22"/>
                <w:szCs w:val="22"/>
              </w:rPr>
            </w:pPr>
            <w:r w:rsidRPr="00407D3B">
              <w:rPr>
                <w:sz w:val="22"/>
                <w:szCs w:val="22"/>
              </w:rPr>
              <w:t>K1=</w:t>
            </w:r>
          </w:p>
        </w:tc>
        <w:tc>
          <w:tcPr>
            <w:tcW w:w="981" w:type="dxa"/>
            <w:shd w:val="clear" w:color="auto" w:fill="auto"/>
            <w:noWrap/>
            <w:vAlign w:val="bottom"/>
            <w:hideMark/>
          </w:tcPr>
          <w:p w14:paraId="759E36C9" w14:textId="77777777" w:rsidR="000A5CCE" w:rsidRPr="00407D3B" w:rsidRDefault="000A5CCE" w:rsidP="008E5BFC">
            <w:pPr>
              <w:jc w:val="right"/>
              <w:rPr>
                <w:color w:val="000000"/>
                <w:sz w:val="22"/>
                <w:szCs w:val="22"/>
              </w:rPr>
            </w:pPr>
            <w:r w:rsidRPr="00407D3B">
              <w:rPr>
                <w:color w:val="000000"/>
                <w:sz w:val="22"/>
                <w:szCs w:val="22"/>
              </w:rPr>
              <w:t>62</w:t>
            </w:r>
          </w:p>
        </w:tc>
        <w:tc>
          <w:tcPr>
            <w:tcW w:w="2045" w:type="dxa"/>
            <w:shd w:val="clear" w:color="auto" w:fill="auto"/>
            <w:noWrap/>
            <w:vAlign w:val="bottom"/>
            <w:hideMark/>
          </w:tcPr>
          <w:p w14:paraId="51A8C59D" w14:textId="77777777" w:rsidR="000A5CCE" w:rsidRPr="00407D3B" w:rsidRDefault="000A5CCE" w:rsidP="008E5BFC">
            <w:pPr>
              <w:jc w:val="right"/>
              <w:rPr>
                <w:sz w:val="22"/>
                <w:szCs w:val="22"/>
              </w:rPr>
            </w:pPr>
            <w:r w:rsidRPr="00407D3B">
              <w:rPr>
                <w:sz w:val="22"/>
                <w:szCs w:val="22"/>
              </w:rPr>
              <w:t>K1=</w:t>
            </w:r>
          </w:p>
        </w:tc>
        <w:tc>
          <w:tcPr>
            <w:tcW w:w="992" w:type="dxa"/>
            <w:shd w:val="clear" w:color="auto" w:fill="auto"/>
            <w:noWrap/>
            <w:vAlign w:val="bottom"/>
            <w:hideMark/>
          </w:tcPr>
          <w:p w14:paraId="52B2055B" w14:textId="77777777" w:rsidR="000A5CCE" w:rsidRPr="00407D3B" w:rsidRDefault="000A5CCE" w:rsidP="008E5BFC">
            <w:pPr>
              <w:jc w:val="right"/>
              <w:rPr>
                <w:color w:val="000000"/>
                <w:sz w:val="22"/>
                <w:szCs w:val="22"/>
              </w:rPr>
            </w:pPr>
            <w:r w:rsidRPr="00407D3B">
              <w:rPr>
                <w:color w:val="000000"/>
                <w:sz w:val="22"/>
                <w:szCs w:val="22"/>
              </w:rPr>
              <w:t>62</w:t>
            </w:r>
          </w:p>
        </w:tc>
      </w:tr>
      <w:tr w:rsidR="000A5CCE" w:rsidRPr="00407D3B" w14:paraId="094245BD" w14:textId="77777777" w:rsidTr="008E5BFC">
        <w:trPr>
          <w:trHeight w:val="320"/>
        </w:trPr>
        <w:tc>
          <w:tcPr>
            <w:tcW w:w="2047" w:type="dxa"/>
            <w:shd w:val="clear" w:color="auto" w:fill="auto"/>
            <w:noWrap/>
            <w:vAlign w:val="bottom"/>
            <w:hideMark/>
          </w:tcPr>
          <w:p w14:paraId="78C16151" w14:textId="77777777" w:rsidR="000A5CCE" w:rsidRPr="00407D3B" w:rsidRDefault="000A5CCE" w:rsidP="008E5BFC">
            <w:pPr>
              <w:jc w:val="right"/>
              <w:rPr>
                <w:sz w:val="22"/>
                <w:szCs w:val="22"/>
              </w:rPr>
            </w:pPr>
            <w:r w:rsidRPr="00407D3B">
              <w:rPr>
                <w:sz w:val="22"/>
                <w:szCs w:val="22"/>
              </w:rPr>
              <w:t>K2=</w:t>
            </w:r>
          </w:p>
        </w:tc>
        <w:tc>
          <w:tcPr>
            <w:tcW w:w="1072" w:type="dxa"/>
            <w:shd w:val="clear" w:color="auto" w:fill="auto"/>
            <w:noWrap/>
            <w:vAlign w:val="bottom"/>
            <w:hideMark/>
          </w:tcPr>
          <w:p w14:paraId="2DBF69B2" w14:textId="77777777" w:rsidR="000A5CCE" w:rsidRPr="00407D3B" w:rsidRDefault="000A5CCE" w:rsidP="008E5BFC">
            <w:pPr>
              <w:jc w:val="right"/>
              <w:rPr>
                <w:color w:val="000000"/>
                <w:sz w:val="22"/>
                <w:szCs w:val="22"/>
              </w:rPr>
            </w:pPr>
            <w:r w:rsidRPr="00407D3B">
              <w:rPr>
                <w:color w:val="000000"/>
                <w:sz w:val="22"/>
                <w:szCs w:val="22"/>
              </w:rPr>
              <w:t>350</w:t>
            </w:r>
          </w:p>
        </w:tc>
        <w:tc>
          <w:tcPr>
            <w:tcW w:w="1903" w:type="dxa"/>
            <w:shd w:val="clear" w:color="auto" w:fill="auto"/>
            <w:noWrap/>
            <w:vAlign w:val="bottom"/>
            <w:hideMark/>
          </w:tcPr>
          <w:p w14:paraId="2346A284" w14:textId="77777777" w:rsidR="000A5CCE" w:rsidRPr="00407D3B" w:rsidRDefault="000A5CCE" w:rsidP="008E5BFC">
            <w:pPr>
              <w:jc w:val="right"/>
              <w:rPr>
                <w:sz w:val="22"/>
                <w:szCs w:val="22"/>
              </w:rPr>
            </w:pPr>
            <w:r w:rsidRPr="00407D3B">
              <w:rPr>
                <w:sz w:val="22"/>
                <w:szCs w:val="22"/>
              </w:rPr>
              <w:t>K2=</w:t>
            </w:r>
          </w:p>
        </w:tc>
        <w:tc>
          <w:tcPr>
            <w:tcW w:w="981" w:type="dxa"/>
            <w:shd w:val="clear" w:color="auto" w:fill="auto"/>
            <w:noWrap/>
            <w:vAlign w:val="bottom"/>
            <w:hideMark/>
          </w:tcPr>
          <w:p w14:paraId="67D5550D" w14:textId="77777777" w:rsidR="000A5CCE" w:rsidRPr="00407D3B" w:rsidRDefault="000A5CCE" w:rsidP="008E5BFC">
            <w:pPr>
              <w:jc w:val="right"/>
              <w:rPr>
                <w:color w:val="000000"/>
                <w:sz w:val="22"/>
                <w:szCs w:val="22"/>
              </w:rPr>
            </w:pPr>
            <w:r w:rsidRPr="00407D3B">
              <w:rPr>
                <w:color w:val="000000"/>
                <w:sz w:val="22"/>
                <w:szCs w:val="22"/>
              </w:rPr>
              <w:t>350</w:t>
            </w:r>
          </w:p>
        </w:tc>
        <w:tc>
          <w:tcPr>
            <w:tcW w:w="2045" w:type="dxa"/>
            <w:shd w:val="clear" w:color="auto" w:fill="auto"/>
            <w:noWrap/>
            <w:vAlign w:val="bottom"/>
            <w:hideMark/>
          </w:tcPr>
          <w:p w14:paraId="7E2CCF47" w14:textId="77777777" w:rsidR="000A5CCE" w:rsidRPr="00407D3B" w:rsidRDefault="000A5CCE" w:rsidP="008E5BFC">
            <w:pPr>
              <w:jc w:val="right"/>
              <w:rPr>
                <w:sz w:val="22"/>
                <w:szCs w:val="22"/>
              </w:rPr>
            </w:pPr>
            <w:r w:rsidRPr="00407D3B">
              <w:rPr>
                <w:sz w:val="22"/>
                <w:szCs w:val="22"/>
              </w:rPr>
              <w:t>K2=</w:t>
            </w:r>
          </w:p>
        </w:tc>
        <w:tc>
          <w:tcPr>
            <w:tcW w:w="992" w:type="dxa"/>
            <w:shd w:val="clear" w:color="auto" w:fill="auto"/>
            <w:noWrap/>
            <w:vAlign w:val="bottom"/>
            <w:hideMark/>
          </w:tcPr>
          <w:p w14:paraId="1818C4CA" w14:textId="77777777" w:rsidR="000A5CCE" w:rsidRPr="00407D3B" w:rsidRDefault="000A5CCE" w:rsidP="008E5BFC">
            <w:pPr>
              <w:jc w:val="right"/>
              <w:rPr>
                <w:color w:val="000000"/>
                <w:sz w:val="22"/>
                <w:szCs w:val="22"/>
              </w:rPr>
            </w:pPr>
            <w:r w:rsidRPr="00407D3B">
              <w:rPr>
                <w:color w:val="000000"/>
                <w:sz w:val="22"/>
                <w:szCs w:val="22"/>
              </w:rPr>
              <w:t>350</w:t>
            </w:r>
          </w:p>
        </w:tc>
      </w:tr>
      <w:tr w:rsidR="000A5CCE" w:rsidRPr="00407D3B" w14:paraId="0A8A01ED" w14:textId="77777777" w:rsidTr="008E5BFC">
        <w:trPr>
          <w:trHeight w:val="320"/>
        </w:trPr>
        <w:tc>
          <w:tcPr>
            <w:tcW w:w="2047" w:type="dxa"/>
            <w:shd w:val="clear" w:color="auto" w:fill="auto"/>
            <w:noWrap/>
            <w:vAlign w:val="bottom"/>
            <w:hideMark/>
          </w:tcPr>
          <w:p w14:paraId="4E7A1AA8" w14:textId="77777777" w:rsidR="000A5CCE" w:rsidRPr="00407D3B" w:rsidRDefault="000A5CCE" w:rsidP="008E5BFC">
            <w:pPr>
              <w:jc w:val="right"/>
              <w:rPr>
                <w:sz w:val="22"/>
                <w:szCs w:val="22"/>
              </w:rPr>
            </w:pPr>
            <w:r w:rsidRPr="00407D3B">
              <w:rPr>
                <w:sz w:val="22"/>
                <w:szCs w:val="22"/>
              </w:rPr>
              <w:t>T (quarter)1</w:t>
            </w:r>
          </w:p>
        </w:tc>
        <w:tc>
          <w:tcPr>
            <w:tcW w:w="1072" w:type="dxa"/>
            <w:shd w:val="clear" w:color="auto" w:fill="auto"/>
            <w:noWrap/>
            <w:vAlign w:val="bottom"/>
            <w:hideMark/>
          </w:tcPr>
          <w:p w14:paraId="3D5D854F" w14:textId="77777777" w:rsidR="000A5CCE" w:rsidRPr="00407D3B" w:rsidRDefault="000A5CCE" w:rsidP="008E5BFC">
            <w:pPr>
              <w:jc w:val="right"/>
              <w:rPr>
                <w:color w:val="000000"/>
                <w:sz w:val="22"/>
                <w:szCs w:val="22"/>
              </w:rPr>
            </w:pPr>
            <w:r w:rsidRPr="00407D3B">
              <w:rPr>
                <w:color w:val="000000"/>
                <w:sz w:val="22"/>
                <w:szCs w:val="22"/>
              </w:rPr>
              <w:t>2</w:t>
            </w:r>
          </w:p>
        </w:tc>
        <w:tc>
          <w:tcPr>
            <w:tcW w:w="1903" w:type="dxa"/>
            <w:shd w:val="clear" w:color="auto" w:fill="auto"/>
            <w:noWrap/>
            <w:vAlign w:val="bottom"/>
            <w:hideMark/>
          </w:tcPr>
          <w:p w14:paraId="47CFFF37" w14:textId="77777777" w:rsidR="000A5CCE" w:rsidRPr="00407D3B" w:rsidRDefault="000A5CCE" w:rsidP="008E5BFC">
            <w:pPr>
              <w:jc w:val="right"/>
              <w:rPr>
                <w:sz w:val="22"/>
                <w:szCs w:val="22"/>
              </w:rPr>
            </w:pPr>
            <w:r w:rsidRPr="00407D3B">
              <w:rPr>
                <w:sz w:val="22"/>
                <w:szCs w:val="22"/>
              </w:rPr>
              <w:t>T (quarter)1</w:t>
            </w:r>
          </w:p>
        </w:tc>
        <w:tc>
          <w:tcPr>
            <w:tcW w:w="981" w:type="dxa"/>
            <w:shd w:val="clear" w:color="auto" w:fill="auto"/>
            <w:noWrap/>
            <w:vAlign w:val="bottom"/>
            <w:hideMark/>
          </w:tcPr>
          <w:p w14:paraId="117EC0D1" w14:textId="77777777" w:rsidR="000A5CCE" w:rsidRPr="00407D3B" w:rsidRDefault="000A5CCE" w:rsidP="008E5BFC">
            <w:pPr>
              <w:jc w:val="right"/>
              <w:rPr>
                <w:color w:val="000000"/>
                <w:sz w:val="22"/>
                <w:szCs w:val="22"/>
              </w:rPr>
            </w:pPr>
            <w:r w:rsidRPr="00407D3B">
              <w:rPr>
                <w:color w:val="000000"/>
                <w:sz w:val="22"/>
                <w:szCs w:val="22"/>
              </w:rPr>
              <w:t>2</w:t>
            </w:r>
          </w:p>
        </w:tc>
        <w:tc>
          <w:tcPr>
            <w:tcW w:w="2045" w:type="dxa"/>
            <w:shd w:val="clear" w:color="auto" w:fill="auto"/>
            <w:noWrap/>
            <w:vAlign w:val="bottom"/>
            <w:hideMark/>
          </w:tcPr>
          <w:p w14:paraId="46B7D19D" w14:textId="77777777" w:rsidR="000A5CCE" w:rsidRPr="00407D3B" w:rsidRDefault="000A5CCE" w:rsidP="008E5BFC">
            <w:pPr>
              <w:jc w:val="right"/>
              <w:rPr>
                <w:sz w:val="22"/>
                <w:szCs w:val="22"/>
              </w:rPr>
            </w:pPr>
            <w:r w:rsidRPr="00407D3B">
              <w:rPr>
                <w:sz w:val="22"/>
                <w:szCs w:val="22"/>
              </w:rPr>
              <w:t>T (quarter)1</w:t>
            </w:r>
          </w:p>
        </w:tc>
        <w:tc>
          <w:tcPr>
            <w:tcW w:w="992" w:type="dxa"/>
            <w:shd w:val="clear" w:color="auto" w:fill="auto"/>
            <w:noWrap/>
            <w:vAlign w:val="bottom"/>
            <w:hideMark/>
          </w:tcPr>
          <w:p w14:paraId="14F15D03" w14:textId="77777777" w:rsidR="000A5CCE" w:rsidRPr="00407D3B" w:rsidRDefault="000A5CCE" w:rsidP="008E5BFC">
            <w:pPr>
              <w:jc w:val="right"/>
              <w:rPr>
                <w:color w:val="000000"/>
                <w:sz w:val="22"/>
                <w:szCs w:val="22"/>
              </w:rPr>
            </w:pPr>
            <w:r w:rsidRPr="00407D3B">
              <w:rPr>
                <w:color w:val="000000"/>
                <w:sz w:val="22"/>
                <w:szCs w:val="22"/>
              </w:rPr>
              <w:t>2</w:t>
            </w:r>
          </w:p>
        </w:tc>
      </w:tr>
      <w:tr w:rsidR="000A5CCE" w:rsidRPr="00407D3B" w14:paraId="2CF0C033" w14:textId="77777777" w:rsidTr="008E5BFC">
        <w:trPr>
          <w:trHeight w:val="320"/>
        </w:trPr>
        <w:tc>
          <w:tcPr>
            <w:tcW w:w="2047" w:type="dxa"/>
            <w:shd w:val="clear" w:color="auto" w:fill="auto"/>
            <w:noWrap/>
            <w:vAlign w:val="bottom"/>
            <w:hideMark/>
          </w:tcPr>
          <w:p w14:paraId="6B789FA9" w14:textId="77777777" w:rsidR="000A5CCE" w:rsidRPr="00407D3B" w:rsidRDefault="000A5CCE" w:rsidP="008E5BFC">
            <w:pPr>
              <w:jc w:val="right"/>
              <w:rPr>
                <w:sz w:val="22"/>
                <w:szCs w:val="22"/>
              </w:rPr>
            </w:pPr>
            <w:r w:rsidRPr="00407D3B">
              <w:rPr>
                <w:sz w:val="22"/>
                <w:szCs w:val="22"/>
              </w:rPr>
              <w:t>T(quarter)2</w:t>
            </w:r>
          </w:p>
        </w:tc>
        <w:tc>
          <w:tcPr>
            <w:tcW w:w="1072" w:type="dxa"/>
            <w:shd w:val="clear" w:color="auto" w:fill="auto"/>
            <w:noWrap/>
            <w:vAlign w:val="bottom"/>
            <w:hideMark/>
          </w:tcPr>
          <w:p w14:paraId="0D9209F0" w14:textId="77777777" w:rsidR="000A5CCE" w:rsidRPr="00407D3B" w:rsidRDefault="000A5CCE" w:rsidP="008E5BFC">
            <w:pPr>
              <w:jc w:val="right"/>
              <w:rPr>
                <w:color w:val="000000"/>
                <w:sz w:val="22"/>
                <w:szCs w:val="22"/>
              </w:rPr>
            </w:pPr>
            <w:r w:rsidRPr="00407D3B">
              <w:rPr>
                <w:color w:val="000000"/>
                <w:sz w:val="22"/>
                <w:szCs w:val="22"/>
              </w:rPr>
              <w:t>4</w:t>
            </w:r>
          </w:p>
        </w:tc>
        <w:tc>
          <w:tcPr>
            <w:tcW w:w="1903" w:type="dxa"/>
            <w:shd w:val="clear" w:color="auto" w:fill="auto"/>
            <w:noWrap/>
            <w:vAlign w:val="bottom"/>
            <w:hideMark/>
          </w:tcPr>
          <w:p w14:paraId="3693F343" w14:textId="77777777" w:rsidR="000A5CCE" w:rsidRPr="00407D3B" w:rsidRDefault="000A5CCE" w:rsidP="008E5BFC">
            <w:pPr>
              <w:jc w:val="right"/>
              <w:rPr>
                <w:sz w:val="22"/>
                <w:szCs w:val="22"/>
              </w:rPr>
            </w:pPr>
            <w:r w:rsidRPr="00407D3B">
              <w:rPr>
                <w:sz w:val="22"/>
                <w:szCs w:val="22"/>
              </w:rPr>
              <w:t>T(quarter)2</w:t>
            </w:r>
          </w:p>
        </w:tc>
        <w:tc>
          <w:tcPr>
            <w:tcW w:w="981" w:type="dxa"/>
            <w:shd w:val="clear" w:color="auto" w:fill="auto"/>
            <w:noWrap/>
            <w:vAlign w:val="bottom"/>
            <w:hideMark/>
          </w:tcPr>
          <w:p w14:paraId="64E81838" w14:textId="77777777" w:rsidR="000A5CCE" w:rsidRPr="00407D3B" w:rsidRDefault="000A5CCE" w:rsidP="008E5BFC">
            <w:pPr>
              <w:jc w:val="right"/>
              <w:rPr>
                <w:color w:val="000000"/>
                <w:sz w:val="22"/>
                <w:szCs w:val="22"/>
              </w:rPr>
            </w:pPr>
            <w:r w:rsidRPr="00407D3B">
              <w:rPr>
                <w:color w:val="000000"/>
                <w:sz w:val="22"/>
                <w:szCs w:val="22"/>
              </w:rPr>
              <w:t>4</w:t>
            </w:r>
          </w:p>
        </w:tc>
        <w:tc>
          <w:tcPr>
            <w:tcW w:w="2045" w:type="dxa"/>
            <w:shd w:val="clear" w:color="auto" w:fill="auto"/>
            <w:noWrap/>
            <w:vAlign w:val="bottom"/>
            <w:hideMark/>
          </w:tcPr>
          <w:p w14:paraId="36F6161A" w14:textId="77777777" w:rsidR="000A5CCE" w:rsidRPr="00407D3B" w:rsidRDefault="000A5CCE" w:rsidP="008E5BFC">
            <w:pPr>
              <w:jc w:val="right"/>
              <w:rPr>
                <w:sz w:val="22"/>
                <w:szCs w:val="22"/>
              </w:rPr>
            </w:pPr>
            <w:r w:rsidRPr="00407D3B">
              <w:rPr>
                <w:sz w:val="22"/>
                <w:szCs w:val="22"/>
              </w:rPr>
              <w:t>T(quarter)2</w:t>
            </w:r>
          </w:p>
        </w:tc>
        <w:tc>
          <w:tcPr>
            <w:tcW w:w="992" w:type="dxa"/>
            <w:shd w:val="clear" w:color="auto" w:fill="auto"/>
            <w:noWrap/>
            <w:vAlign w:val="bottom"/>
            <w:hideMark/>
          </w:tcPr>
          <w:p w14:paraId="19BAC3A8" w14:textId="77777777" w:rsidR="000A5CCE" w:rsidRPr="00407D3B" w:rsidRDefault="000A5CCE" w:rsidP="008E5BFC">
            <w:pPr>
              <w:jc w:val="right"/>
              <w:rPr>
                <w:color w:val="000000"/>
                <w:sz w:val="22"/>
                <w:szCs w:val="22"/>
              </w:rPr>
            </w:pPr>
            <w:r w:rsidRPr="00407D3B">
              <w:rPr>
                <w:color w:val="000000"/>
                <w:sz w:val="22"/>
                <w:szCs w:val="22"/>
              </w:rPr>
              <w:t>4</w:t>
            </w:r>
          </w:p>
        </w:tc>
      </w:tr>
      <w:tr w:rsidR="000A5CCE" w:rsidRPr="00407D3B" w14:paraId="686AB426" w14:textId="77777777" w:rsidTr="008E5BFC">
        <w:trPr>
          <w:trHeight w:val="320"/>
        </w:trPr>
        <w:tc>
          <w:tcPr>
            <w:tcW w:w="2047" w:type="dxa"/>
            <w:shd w:val="clear" w:color="auto" w:fill="auto"/>
            <w:noWrap/>
            <w:vAlign w:val="bottom"/>
            <w:hideMark/>
          </w:tcPr>
          <w:p w14:paraId="2B0A38E6" w14:textId="77777777" w:rsidR="000A5CCE" w:rsidRPr="00407D3B" w:rsidRDefault="000A5CCE" w:rsidP="008E5BFC">
            <w:pPr>
              <w:jc w:val="right"/>
              <w:rPr>
                <w:sz w:val="22"/>
                <w:szCs w:val="22"/>
              </w:rPr>
            </w:pPr>
            <w:proofErr w:type="spellStart"/>
            <w:r w:rsidRPr="00407D3B">
              <w:rPr>
                <w:sz w:val="22"/>
                <w:szCs w:val="22"/>
              </w:rPr>
              <w:t>CVt</w:t>
            </w:r>
            <w:proofErr w:type="spellEnd"/>
            <w:r w:rsidRPr="00407D3B">
              <w:rPr>
                <w:sz w:val="22"/>
                <w:szCs w:val="22"/>
              </w:rPr>
              <w:t>=</w:t>
            </w:r>
          </w:p>
        </w:tc>
        <w:tc>
          <w:tcPr>
            <w:tcW w:w="1072" w:type="dxa"/>
            <w:shd w:val="clear" w:color="auto" w:fill="auto"/>
            <w:noWrap/>
            <w:vAlign w:val="bottom"/>
            <w:hideMark/>
          </w:tcPr>
          <w:p w14:paraId="42359743" w14:textId="77777777" w:rsidR="000A5CCE" w:rsidRPr="00407D3B" w:rsidRDefault="000A5CCE" w:rsidP="008E5BFC">
            <w:pPr>
              <w:jc w:val="right"/>
              <w:rPr>
                <w:color w:val="000000"/>
                <w:sz w:val="22"/>
                <w:szCs w:val="22"/>
              </w:rPr>
            </w:pPr>
            <w:r w:rsidRPr="00407D3B">
              <w:rPr>
                <w:color w:val="000000"/>
                <w:sz w:val="22"/>
                <w:szCs w:val="22"/>
              </w:rPr>
              <w:t>200</w:t>
            </w:r>
          </w:p>
        </w:tc>
        <w:tc>
          <w:tcPr>
            <w:tcW w:w="1903" w:type="dxa"/>
            <w:shd w:val="clear" w:color="auto" w:fill="auto"/>
            <w:noWrap/>
            <w:vAlign w:val="bottom"/>
            <w:hideMark/>
          </w:tcPr>
          <w:p w14:paraId="1CF8B8AA" w14:textId="77777777" w:rsidR="000A5CCE" w:rsidRPr="00407D3B" w:rsidRDefault="000A5CCE" w:rsidP="008E5BFC">
            <w:pPr>
              <w:jc w:val="right"/>
              <w:rPr>
                <w:sz w:val="22"/>
                <w:szCs w:val="22"/>
              </w:rPr>
            </w:pPr>
            <w:proofErr w:type="spellStart"/>
            <w:r w:rsidRPr="00407D3B">
              <w:rPr>
                <w:sz w:val="22"/>
                <w:szCs w:val="22"/>
              </w:rPr>
              <w:t>D</w:t>
            </w:r>
            <w:r>
              <w:rPr>
                <w:sz w:val="22"/>
                <w:szCs w:val="22"/>
              </w:rPr>
              <w:t>V</w:t>
            </w:r>
            <w:r w:rsidRPr="00407D3B">
              <w:rPr>
                <w:sz w:val="22"/>
                <w:szCs w:val="22"/>
              </w:rPr>
              <w:t>t</w:t>
            </w:r>
            <w:proofErr w:type="spellEnd"/>
            <w:r>
              <w:rPr>
                <w:sz w:val="22"/>
                <w:szCs w:val="22"/>
              </w:rPr>
              <w:t>=</w:t>
            </w:r>
          </w:p>
        </w:tc>
        <w:tc>
          <w:tcPr>
            <w:tcW w:w="981" w:type="dxa"/>
            <w:shd w:val="clear" w:color="auto" w:fill="auto"/>
            <w:noWrap/>
            <w:vAlign w:val="bottom"/>
            <w:hideMark/>
          </w:tcPr>
          <w:p w14:paraId="0CD104A3" w14:textId="77777777" w:rsidR="000A5CCE" w:rsidRPr="00407D3B" w:rsidRDefault="000A5CCE" w:rsidP="008E5BFC">
            <w:pPr>
              <w:jc w:val="right"/>
              <w:rPr>
                <w:color w:val="000000"/>
                <w:sz w:val="22"/>
                <w:szCs w:val="22"/>
              </w:rPr>
            </w:pPr>
            <w:r w:rsidRPr="00407D3B">
              <w:rPr>
                <w:color w:val="000000"/>
                <w:sz w:val="22"/>
                <w:szCs w:val="22"/>
              </w:rPr>
              <w:t>300</w:t>
            </w:r>
          </w:p>
        </w:tc>
        <w:tc>
          <w:tcPr>
            <w:tcW w:w="2045" w:type="dxa"/>
            <w:shd w:val="clear" w:color="auto" w:fill="auto"/>
            <w:noWrap/>
            <w:vAlign w:val="bottom"/>
            <w:hideMark/>
          </w:tcPr>
          <w:p w14:paraId="49ABA181" w14:textId="77777777" w:rsidR="000A5CCE" w:rsidRPr="00407D3B" w:rsidRDefault="000A5CCE" w:rsidP="008E5BFC">
            <w:pPr>
              <w:jc w:val="right"/>
              <w:rPr>
                <w:sz w:val="22"/>
                <w:szCs w:val="22"/>
              </w:rPr>
            </w:pPr>
            <w:proofErr w:type="spellStart"/>
            <w:r w:rsidRPr="00407D3B">
              <w:rPr>
                <w:sz w:val="22"/>
                <w:szCs w:val="22"/>
              </w:rPr>
              <w:t>E</w:t>
            </w:r>
            <w:r>
              <w:rPr>
                <w:sz w:val="22"/>
                <w:szCs w:val="22"/>
              </w:rPr>
              <w:t>V</w:t>
            </w:r>
            <w:r w:rsidRPr="00407D3B">
              <w:rPr>
                <w:sz w:val="22"/>
                <w:szCs w:val="22"/>
              </w:rPr>
              <w:t>t</w:t>
            </w:r>
            <w:proofErr w:type="spellEnd"/>
            <w:r>
              <w:rPr>
                <w:sz w:val="22"/>
                <w:szCs w:val="22"/>
              </w:rPr>
              <w:t>=</w:t>
            </w:r>
          </w:p>
        </w:tc>
        <w:tc>
          <w:tcPr>
            <w:tcW w:w="992" w:type="dxa"/>
            <w:shd w:val="clear" w:color="auto" w:fill="auto"/>
            <w:noWrap/>
            <w:vAlign w:val="bottom"/>
            <w:hideMark/>
          </w:tcPr>
          <w:p w14:paraId="585FA5DB" w14:textId="77777777" w:rsidR="000A5CCE" w:rsidRPr="00407D3B" w:rsidRDefault="000A5CCE" w:rsidP="008E5BFC">
            <w:pPr>
              <w:jc w:val="right"/>
              <w:rPr>
                <w:color w:val="000000"/>
                <w:sz w:val="22"/>
                <w:szCs w:val="22"/>
              </w:rPr>
            </w:pPr>
            <w:r w:rsidRPr="00407D3B">
              <w:rPr>
                <w:color w:val="000000"/>
                <w:sz w:val="22"/>
                <w:szCs w:val="22"/>
              </w:rPr>
              <w:t>580</w:t>
            </w:r>
          </w:p>
        </w:tc>
      </w:tr>
      <w:tr w:rsidR="000A5CCE" w:rsidRPr="00407D3B" w14:paraId="4C5B9C65" w14:textId="77777777" w:rsidTr="008E5BFC">
        <w:trPr>
          <w:trHeight w:val="320"/>
        </w:trPr>
        <w:tc>
          <w:tcPr>
            <w:tcW w:w="2047" w:type="dxa"/>
            <w:shd w:val="clear" w:color="auto" w:fill="auto"/>
            <w:noWrap/>
            <w:vAlign w:val="bottom"/>
            <w:hideMark/>
          </w:tcPr>
          <w:p w14:paraId="608DFDBB" w14:textId="77777777" w:rsidR="000A5CCE" w:rsidRPr="00407D3B" w:rsidRDefault="000A5CCE" w:rsidP="008E5BFC">
            <w:pPr>
              <w:jc w:val="right"/>
              <w:rPr>
                <w:sz w:val="22"/>
                <w:szCs w:val="22"/>
              </w:rPr>
            </w:pPr>
            <w:proofErr w:type="spellStart"/>
            <w:r w:rsidRPr="00407D3B">
              <w:rPr>
                <w:sz w:val="22"/>
                <w:szCs w:val="22"/>
              </w:rPr>
              <w:t>CVc</w:t>
            </w:r>
            <w:proofErr w:type="spellEnd"/>
            <w:r w:rsidRPr="00407D3B">
              <w:rPr>
                <w:sz w:val="22"/>
                <w:szCs w:val="22"/>
              </w:rPr>
              <w:t>=</w:t>
            </w:r>
          </w:p>
        </w:tc>
        <w:tc>
          <w:tcPr>
            <w:tcW w:w="1072" w:type="dxa"/>
            <w:shd w:val="clear" w:color="auto" w:fill="auto"/>
            <w:noWrap/>
            <w:vAlign w:val="bottom"/>
            <w:hideMark/>
          </w:tcPr>
          <w:p w14:paraId="424BC64D" w14:textId="77777777" w:rsidR="000A5CCE" w:rsidRPr="00407D3B" w:rsidRDefault="000A5CCE" w:rsidP="008E5BFC">
            <w:pPr>
              <w:jc w:val="right"/>
              <w:rPr>
                <w:color w:val="000000"/>
                <w:sz w:val="22"/>
                <w:szCs w:val="22"/>
              </w:rPr>
            </w:pPr>
            <w:r w:rsidRPr="00407D3B">
              <w:rPr>
                <w:color w:val="000000"/>
                <w:sz w:val="22"/>
                <w:szCs w:val="22"/>
              </w:rPr>
              <w:t>150</w:t>
            </w:r>
          </w:p>
        </w:tc>
        <w:tc>
          <w:tcPr>
            <w:tcW w:w="1903" w:type="dxa"/>
            <w:shd w:val="clear" w:color="auto" w:fill="auto"/>
            <w:noWrap/>
            <w:vAlign w:val="bottom"/>
            <w:hideMark/>
          </w:tcPr>
          <w:p w14:paraId="700349DE" w14:textId="77777777" w:rsidR="000A5CCE" w:rsidRPr="00407D3B" w:rsidRDefault="000A5CCE" w:rsidP="008E5BFC">
            <w:pPr>
              <w:jc w:val="right"/>
              <w:rPr>
                <w:sz w:val="22"/>
                <w:szCs w:val="22"/>
              </w:rPr>
            </w:pPr>
            <w:proofErr w:type="spellStart"/>
            <w:r w:rsidRPr="00407D3B">
              <w:rPr>
                <w:sz w:val="22"/>
                <w:szCs w:val="22"/>
              </w:rPr>
              <w:t>D</w:t>
            </w:r>
            <w:r>
              <w:rPr>
                <w:sz w:val="22"/>
                <w:szCs w:val="22"/>
              </w:rPr>
              <w:t>V</w:t>
            </w:r>
            <w:r w:rsidRPr="00407D3B">
              <w:rPr>
                <w:sz w:val="22"/>
                <w:szCs w:val="22"/>
              </w:rPr>
              <w:t>c</w:t>
            </w:r>
            <w:proofErr w:type="spellEnd"/>
            <w:r>
              <w:rPr>
                <w:sz w:val="22"/>
                <w:szCs w:val="22"/>
              </w:rPr>
              <w:t>=</w:t>
            </w:r>
          </w:p>
        </w:tc>
        <w:tc>
          <w:tcPr>
            <w:tcW w:w="981" w:type="dxa"/>
            <w:shd w:val="clear" w:color="auto" w:fill="auto"/>
            <w:noWrap/>
            <w:vAlign w:val="bottom"/>
            <w:hideMark/>
          </w:tcPr>
          <w:p w14:paraId="4935B7F1" w14:textId="77777777" w:rsidR="000A5CCE" w:rsidRPr="00407D3B" w:rsidRDefault="000A5CCE" w:rsidP="008E5BFC">
            <w:pPr>
              <w:jc w:val="right"/>
              <w:rPr>
                <w:color w:val="000000"/>
                <w:sz w:val="22"/>
                <w:szCs w:val="22"/>
              </w:rPr>
            </w:pPr>
            <w:r w:rsidRPr="00407D3B">
              <w:rPr>
                <w:color w:val="000000"/>
                <w:sz w:val="22"/>
                <w:szCs w:val="22"/>
              </w:rPr>
              <w:t>320</w:t>
            </w:r>
          </w:p>
        </w:tc>
        <w:tc>
          <w:tcPr>
            <w:tcW w:w="2045" w:type="dxa"/>
            <w:shd w:val="clear" w:color="auto" w:fill="auto"/>
            <w:noWrap/>
            <w:vAlign w:val="bottom"/>
            <w:hideMark/>
          </w:tcPr>
          <w:p w14:paraId="2CDE80C7" w14:textId="77777777" w:rsidR="000A5CCE" w:rsidRPr="00407D3B" w:rsidRDefault="000A5CCE" w:rsidP="008E5BFC">
            <w:pPr>
              <w:jc w:val="right"/>
              <w:rPr>
                <w:sz w:val="22"/>
                <w:szCs w:val="22"/>
              </w:rPr>
            </w:pPr>
            <w:proofErr w:type="spellStart"/>
            <w:r w:rsidRPr="00407D3B">
              <w:rPr>
                <w:sz w:val="22"/>
                <w:szCs w:val="22"/>
              </w:rPr>
              <w:t>E</w:t>
            </w:r>
            <w:r>
              <w:rPr>
                <w:sz w:val="22"/>
                <w:szCs w:val="22"/>
              </w:rPr>
              <w:t>V</w:t>
            </w:r>
            <w:r w:rsidRPr="00407D3B">
              <w:rPr>
                <w:sz w:val="22"/>
                <w:szCs w:val="22"/>
              </w:rPr>
              <w:t>c</w:t>
            </w:r>
            <w:proofErr w:type="spellEnd"/>
            <w:r>
              <w:rPr>
                <w:sz w:val="22"/>
                <w:szCs w:val="22"/>
              </w:rPr>
              <w:t>=</w:t>
            </w:r>
          </w:p>
        </w:tc>
        <w:tc>
          <w:tcPr>
            <w:tcW w:w="992" w:type="dxa"/>
            <w:shd w:val="clear" w:color="auto" w:fill="auto"/>
            <w:noWrap/>
            <w:vAlign w:val="bottom"/>
            <w:hideMark/>
          </w:tcPr>
          <w:p w14:paraId="6EFF1F2B" w14:textId="77777777" w:rsidR="000A5CCE" w:rsidRPr="00407D3B" w:rsidRDefault="000A5CCE" w:rsidP="008E5BFC">
            <w:pPr>
              <w:jc w:val="right"/>
              <w:rPr>
                <w:color w:val="000000"/>
                <w:sz w:val="22"/>
                <w:szCs w:val="22"/>
              </w:rPr>
            </w:pPr>
            <w:r w:rsidRPr="00407D3B">
              <w:rPr>
                <w:color w:val="000000"/>
                <w:sz w:val="22"/>
                <w:szCs w:val="22"/>
              </w:rPr>
              <w:t>620</w:t>
            </w:r>
          </w:p>
        </w:tc>
      </w:tr>
      <w:tr w:rsidR="000A5CCE" w:rsidRPr="00407D3B" w14:paraId="03E1AAF1" w14:textId="77777777" w:rsidTr="008E5BFC">
        <w:trPr>
          <w:trHeight w:val="320"/>
        </w:trPr>
        <w:tc>
          <w:tcPr>
            <w:tcW w:w="2047" w:type="dxa"/>
            <w:shd w:val="clear" w:color="auto" w:fill="auto"/>
            <w:noWrap/>
            <w:vAlign w:val="bottom"/>
            <w:hideMark/>
          </w:tcPr>
          <w:p w14:paraId="718BBE8F" w14:textId="77777777" w:rsidR="000A5CCE" w:rsidRPr="00407D3B" w:rsidRDefault="000A5CCE" w:rsidP="008E5BFC">
            <w:pPr>
              <w:jc w:val="right"/>
              <w:rPr>
                <w:i/>
                <w:iCs/>
                <w:sz w:val="22"/>
                <w:szCs w:val="22"/>
              </w:rPr>
            </w:pPr>
            <w:r w:rsidRPr="00407D3B">
              <w:rPr>
                <w:i/>
                <w:iCs/>
                <w:sz w:val="22"/>
                <w:szCs w:val="22"/>
              </w:rPr>
              <w:t>k</w:t>
            </w:r>
          </w:p>
        </w:tc>
        <w:tc>
          <w:tcPr>
            <w:tcW w:w="1072" w:type="dxa"/>
            <w:shd w:val="clear" w:color="auto" w:fill="auto"/>
            <w:noWrap/>
            <w:vAlign w:val="bottom"/>
            <w:hideMark/>
          </w:tcPr>
          <w:p w14:paraId="191A550F" w14:textId="77777777" w:rsidR="000A5CCE" w:rsidRPr="00407D3B" w:rsidRDefault="000A5CCE" w:rsidP="008E5BFC">
            <w:pPr>
              <w:jc w:val="right"/>
              <w:rPr>
                <w:color w:val="000000"/>
                <w:sz w:val="22"/>
                <w:szCs w:val="22"/>
              </w:rPr>
            </w:pPr>
            <w:r w:rsidRPr="00407D3B">
              <w:rPr>
                <w:color w:val="000000"/>
                <w:sz w:val="22"/>
                <w:szCs w:val="22"/>
              </w:rPr>
              <w:t>0.813</w:t>
            </w:r>
          </w:p>
        </w:tc>
        <w:tc>
          <w:tcPr>
            <w:tcW w:w="1903" w:type="dxa"/>
            <w:shd w:val="clear" w:color="auto" w:fill="auto"/>
            <w:noWrap/>
            <w:vAlign w:val="bottom"/>
            <w:hideMark/>
          </w:tcPr>
          <w:p w14:paraId="223DE383" w14:textId="77777777" w:rsidR="000A5CCE" w:rsidRPr="00407D3B" w:rsidRDefault="000A5CCE" w:rsidP="008E5BFC">
            <w:pPr>
              <w:jc w:val="right"/>
              <w:rPr>
                <w:i/>
                <w:iCs/>
                <w:sz w:val="22"/>
                <w:szCs w:val="22"/>
              </w:rPr>
            </w:pPr>
            <w:r w:rsidRPr="00407D3B">
              <w:rPr>
                <w:i/>
                <w:iCs/>
                <w:sz w:val="22"/>
                <w:szCs w:val="22"/>
              </w:rPr>
              <w:t>k</w:t>
            </w:r>
          </w:p>
        </w:tc>
        <w:tc>
          <w:tcPr>
            <w:tcW w:w="981" w:type="dxa"/>
            <w:shd w:val="clear" w:color="auto" w:fill="auto"/>
            <w:noWrap/>
            <w:vAlign w:val="bottom"/>
            <w:hideMark/>
          </w:tcPr>
          <w:p w14:paraId="3B4DE1DF" w14:textId="77777777" w:rsidR="000A5CCE" w:rsidRPr="00407D3B" w:rsidRDefault="000A5CCE" w:rsidP="008E5BFC">
            <w:pPr>
              <w:jc w:val="right"/>
              <w:rPr>
                <w:color w:val="000000"/>
                <w:sz w:val="22"/>
                <w:szCs w:val="22"/>
              </w:rPr>
            </w:pPr>
            <w:r w:rsidRPr="00407D3B">
              <w:rPr>
                <w:color w:val="000000"/>
                <w:sz w:val="22"/>
                <w:szCs w:val="22"/>
              </w:rPr>
              <w:t>0.077</w:t>
            </w:r>
          </w:p>
        </w:tc>
        <w:tc>
          <w:tcPr>
            <w:tcW w:w="2045" w:type="dxa"/>
            <w:shd w:val="clear" w:color="auto" w:fill="auto"/>
            <w:noWrap/>
            <w:vAlign w:val="bottom"/>
            <w:hideMark/>
          </w:tcPr>
          <w:p w14:paraId="35DEF437" w14:textId="77777777" w:rsidR="000A5CCE" w:rsidRPr="00407D3B" w:rsidRDefault="000A5CCE" w:rsidP="008E5BFC">
            <w:pPr>
              <w:jc w:val="right"/>
              <w:rPr>
                <w:i/>
                <w:iCs/>
                <w:sz w:val="22"/>
                <w:szCs w:val="22"/>
              </w:rPr>
            </w:pPr>
            <w:r w:rsidRPr="00407D3B">
              <w:rPr>
                <w:i/>
                <w:iCs/>
                <w:sz w:val="22"/>
                <w:szCs w:val="22"/>
              </w:rPr>
              <w:t>k</w:t>
            </w:r>
          </w:p>
        </w:tc>
        <w:tc>
          <w:tcPr>
            <w:tcW w:w="992" w:type="dxa"/>
            <w:shd w:val="clear" w:color="auto" w:fill="auto"/>
            <w:noWrap/>
            <w:vAlign w:val="bottom"/>
            <w:hideMark/>
          </w:tcPr>
          <w:p w14:paraId="454BB168" w14:textId="77777777" w:rsidR="000A5CCE" w:rsidRPr="00407D3B" w:rsidRDefault="000A5CCE" w:rsidP="008E5BFC">
            <w:pPr>
              <w:jc w:val="right"/>
              <w:rPr>
                <w:color w:val="000000"/>
                <w:sz w:val="22"/>
                <w:szCs w:val="22"/>
              </w:rPr>
            </w:pPr>
            <w:r w:rsidRPr="00407D3B">
              <w:rPr>
                <w:color w:val="000000"/>
                <w:sz w:val="22"/>
                <w:szCs w:val="22"/>
              </w:rPr>
              <w:t>0.072</w:t>
            </w:r>
          </w:p>
        </w:tc>
      </w:tr>
      <w:tr w:rsidR="000A5CCE" w:rsidRPr="00407D3B" w14:paraId="68B64D98" w14:textId="77777777" w:rsidTr="008E5BFC">
        <w:trPr>
          <w:trHeight w:val="320"/>
        </w:trPr>
        <w:tc>
          <w:tcPr>
            <w:tcW w:w="2047" w:type="dxa"/>
            <w:shd w:val="clear" w:color="auto" w:fill="auto"/>
            <w:noWrap/>
            <w:vAlign w:val="bottom"/>
            <w:hideMark/>
          </w:tcPr>
          <w:p w14:paraId="03678FF5" w14:textId="77777777" w:rsidR="000A5CCE" w:rsidRPr="00407D3B" w:rsidRDefault="000A5CCE" w:rsidP="008E5BFC">
            <w:pPr>
              <w:jc w:val="right"/>
              <w:rPr>
                <w:i/>
                <w:iCs/>
                <w:sz w:val="22"/>
                <w:szCs w:val="22"/>
              </w:rPr>
            </w:pPr>
            <w:r w:rsidRPr="00407D3B">
              <w:rPr>
                <w:i/>
                <w:iCs/>
                <w:sz w:val="22"/>
                <w:szCs w:val="22"/>
              </w:rPr>
              <w:t>h</w:t>
            </w:r>
          </w:p>
        </w:tc>
        <w:tc>
          <w:tcPr>
            <w:tcW w:w="1072" w:type="dxa"/>
            <w:shd w:val="clear" w:color="auto" w:fill="auto"/>
            <w:noWrap/>
            <w:vAlign w:val="bottom"/>
            <w:hideMark/>
          </w:tcPr>
          <w:p w14:paraId="370A6A85" w14:textId="77777777" w:rsidR="000A5CCE" w:rsidRPr="00407D3B" w:rsidRDefault="000A5CCE" w:rsidP="008E5BFC">
            <w:pPr>
              <w:jc w:val="right"/>
              <w:rPr>
                <w:color w:val="000000"/>
                <w:sz w:val="22"/>
                <w:szCs w:val="22"/>
              </w:rPr>
            </w:pPr>
            <w:r w:rsidRPr="00407D3B">
              <w:rPr>
                <w:color w:val="000000"/>
                <w:sz w:val="22"/>
                <w:szCs w:val="22"/>
              </w:rPr>
              <w:t>1.039</w:t>
            </w:r>
          </w:p>
        </w:tc>
        <w:tc>
          <w:tcPr>
            <w:tcW w:w="1903" w:type="dxa"/>
            <w:shd w:val="clear" w:color="auto" w:fill="auto"/>
            <w:noWrap/>
            <w:vAlign w:val="bottom"/>
            <w:hideMark/>
          </w:tcPr>
          <w:p w14:paraId="25A532DB" w14:textId="77777777" w:rsidR="000A5CCE" w:rsidRPr="00407D3B" w:rsidRDefault="000A5CCE" w:rsidP="008E5BFC">
            <w:pPr>
              <w:jc w:val="right"/>
              <w:rPr>
                <w:i/>
                <w:iCs/>
                <w:sz w:val="22"/>
                <w:szCs w:val="22"/>
              </w:rPr>
            </w:pPr>
            <w:r w:rsidRPr="00407D3B">
              <w:rPr>
                <w:i/>
                <w:iCs/>
                <w:sz w:val="22"/>
                <w:szCs w:val="22"/>
              </w:rPr>
              <w:t>h</w:t>
            </w:r>
          </w:p>
        </w:tc>
        <w:tc>
          <w:tcPr>
            <w:tcW w:w="981" w:type="dxa"/>
            <w:shd w:val="clear" w:color="auto" w:fill="auto"/>
            <w:noWrap/>
            <w:vAlign w:val="bottom"/>
            <w:hideMark/>
          </w:tcPr>
          <w:p w14:paraId="4D9CBA6C" w14:textId="77777777" w:rsidR="000A5CCE" w:rsidRPr="00407D3B" w:rsidRDefault="000A5CCE" w:rsidP="008E5BFC">
            <w:pPr>
              <w:jc w:val="right"/>
              <w:rPr>
                <w:color w:val="000000"/>
                <w:sz w:val="22"/>
                <w:szCs w:val="22"/>
              </w:rPr>
            </w:pPr>
            <w:r w:rsidRPr="00407D3B">
              <w:rPr>
                <w:color w:val="000000"/>
                <w:sz w:val="22"/>
                <w:szCs w:val="22"/>
              </w:rPr>
              <w:t>-0.046</w:t>
            </w:r>
          </w:p>
        </w:tc>
        <w:tc>
          <w:tcPr>
            <w:tcW w:w="2045" w:type="dxa"/>
            <w:shd w:val="clear" w:color="auto" w:fill="auto"/>
            <w:noWrap/>
            <w:vAlign w:val="bottom"/>
            <w:hideMark/>
          </w:tcPr>
          <w:p w14:paraId="10A8AA49" w14:textId="77777777" w:rsidR="000A5CCE" w:rsidRPr="00407D3B" w:rsidRDefault="000A5CCE" w:rsidP="008E5BFC">
            <w:pPr>
              <w:jc w:val="right"/>
              <w:rPr>
                <w:i/>
                <w:iCs/>
                <w:sz w:val="22"/>
                <w:szCs w:val="22"/>
              </w:rPr>
            </w:pPr>
            <w:r w:rsidRPr="00407D3B">
              <w:rPr>
                <w:i/>
                <w:iCs/>
                <w:sz w:val="22"/>
                <w:szCs w:val="22"/>
              </w:rPr>
              <w:t>h</w:t>
            </w:r>
          </w:p>
        </w:tc>
        <w:tc>
          <w:tcPr>
            <w:tcW w:w="992" w:type="dxa"/>
            <w:shd w:val="clear" w:color="auto" w:fill="auto"/>
            <w:noWrap/>
            <w:vAlign w:val="bottom"/>
            <w:hideMark/>
          </w:tcPr>
          <w:p w14:paraId="31997F52" w14:textId="77777777" w:rsidR="000A5CCE" w:rsidRPr="00407D3B" w:rsidRDefault="000A5CCE" w:rsidP="008E5BFC">
            <w:pPr>
              <w:jc w:val="right"/>
              <w:rPr>
                <w:color w:val="000000"/>
                <w:sz w:val="22"/>
                <w:szCs w:val="22"/>
              </w:rPr>
            </w:pPr>
            <w:r w:rsidRPr="00407D3B">
              <w:rPr>
                <w:color w:val="000000"/>
                <w:sz w:val="22"/>
                <w:szCs w:val="22"/>
              </w:rPr>
              <w:t>-0.052</w:t>
            </w:r>
          </w:p>
        </w:tc>
      </w:tr>
      <w:tr w:rsidR="000A5CCE" w:rsidRPr="00407D3B" w14:paraId="0EE17977" w14:textId="77777777" w:rsidTr="008E5BFC">
        <w:trPr>
          <w:trHeight w:val="320"/>
        </w:trPr>
        <w:tc>
          <w:tcPr>
            <w:tcW w:w="2047" w:type="dxa"/>
            <w:shd w:val="clear" w:color="auto" w:fill="auto"/>
            <w:noWrap/>
            <w:vAlign w:val="bottom"/>
            <w:hideMark/>
          </w:tcPr>
          <w:p w14:paraId="34CBB422" w14:textId="77777777" w:rsidR="000A5CCE" w:rsidRPr="00407D3B" w:rsidRDefault="000A5CCE" w:rsidP="008E5BFC">
            <w:pPr>
              <w:jc w:val="right"/>
              <w:rPr>
                <w:sz w:val="22"/>
                <w:szCs w:val="22"/>
              </w:rPr>
            </w:pPr>
            <w:r w:rsidRPr="00407D3B">
              <w:rPr>
                <w:sz w:val="22"/>
                <w:szCs w:val="22"/>
              </w:rPr>
              <w:t>N2(</w:t>
            </w:r>
            <w:proofErr w:type="spellStart"/>
            <w:proofErr w:type="gramStart"/>
            <w:r w:rsidRPr="00407D3B">
              <w:rPr>
                <w:sz w:val="22"/>
                <w:szCs w:val="22"/>
              </w:rPr>
              <w:t>k</w:t>
            </w:r>
            <w:r w:rsidRPr="00407D3B">
              <w:rPr>
                <w:i/>
                <w:iCs/>
                <w:sz w:val="22"/>
                <w:szCs w:val="22"/>
              </w:rPr>
              <w:t>,h</w:t>
            </w:r>
            <w:proofErr w:type="gramEnd"/>
            <w:r w:rsidRPr="00407D3B">
              <w:rPr>
                <w:i/>
                <w:iCs/>
                <w:sz w:val="22"/>
                <w:szCs w:val="22"/>
              </w:rPr>
              <w:t>;p</w:t>
            </w:r>
            <w:proofErr w:type="spellEnd"/>
            <w:r w:rsidRPr="00407D3B">
              <w:rPr>
                <w:sz w:val="22"/>
                <w:szCs w:val="22"/>
              </w:rPr>
              <w:t>)</w:t>
            </w:r>
          </w:p>
        </w:tc>
        <w:tc>
          <w:tcPr>
            <w:tcW w:w="1072" w:type="dxa"/>
            <w:shd w:val="clear" w:color="auto" w:fill="auto"/>
            <w:noWrap/>
            <w:vAlign w:val="bottom"/>
            <w:hideMark/>
          </w:tcPr>
          <w:p w14:paraId="05CA561F" w14:textId="77777777" w:rsidR="000A5CCE" w:rsidRPr="00407D3B" w:rsidRDefault="000A5CCE" w:rsidP="008E5BFC">
            <w:pPr>
              <w:jc w:val="right"/>
              <w:rPr>
                <w:color w:val="000000"/>
                <w:sz w:val="22"/>
                <w:szCs w:val="22"/>
              </w:rPr>
            </w:pPr>
            <w:r w:rsidRPr="00407D3B">
              <w:rPr>
                <w:color w:val="000000"/>
                <w:sz w:val="22"/>
                <w:szCs w:val="22"/>
              </w:rPr>
              <w:t>0.620</w:t>
            </w:r>
          </w:p>
        </w:tc>
        <w:tc>
          <w:tcPr>
            <w:tcW w:w="1903" w:type="dxa"/>
            <w:shd w:val="clear" w:color="auto" w:fill="auto"/>
            <w:noWrap/>
            <w:vAlign w:val="bottom"/>
            <w:hideMark/>
          </w:tcPr>
          <w:p w14:paraId="3E56879A" w14:textId="77777777" w:rsidR="000A5CCE" w:rsidRPr="00407D3B" w:rsidRDefault="000A5CCE" w:rsidP="008E5BFC">
            <w:pPr>
              <w:jc w:val="right"/>
              <w:rPr>
                <w:sz w:val="22"/>
                <w:szCs w:val="22"/>
              </w:rPr>
            </w:pPr>
            <w:r w:rsidRPr="00407D3B">
              <w:rPr>
                <w:sz w:val="22"/>
                <w:szCs w:val="22"/>
              </w:rPr>
              <w:t>N2(</w:t>
            </w:r>
            <w:proofErr w:type="spellStart"/>
            <w:proofErr w:type="gramStart"/>
            <w:r w:rsidRPr="00407D3B">
              <w:rPr>
                <w:sz w:val="22"/>
                <w:szCs w:val="22"/>
              </w:rPr>
              <w:t>k</w:t>
            </w:r>
            <w:r w:rsidRPr="00407D3B">
              <w:rPr>
                <w:i/>
                <w:iCs/>
                <w:sz w:val="22"/>
                <w:szCs w:val="22"/>
              </w:rPr>
              <w:t>,h</w:t>
            </w:r>
            <w:proofErr w:type="gramEnd"/>
            <w:r w:rsidRPr="00407D3B">
              <w:rPr>
                <w:i/>
                <w:iCs/>
                <w:sz w:val="22"/>
                <w:szCs w:val="22"/>
              </w:rPr>
              <w:t>;p</w:t>
            </w:r>
            <w:proofErr w:type="spellEnd"/>
            <w:r w:rsidRPr="00407D3B">
              <w:rPr>
                <w:sz w:val="22"/>
                <w:szCs w:val="22"/>
              </w:rPr>
              <w:t>)</w:t>
            </w:r>
          </w:p>
        </w:tc>
        <w:tc>
          <w:tcPr>
            <w:tcW w:w="981" w:type="dxa"/>
            <w:shd w:val="clear" w:color="auto" w:fill="auto"/>
            <w:noWrap/>
            <w:vAlign w:val="bottom"/>
            <w:hideMark/>
          </w:tcPr>
          <w:p w14:paraId="189CFC75" w14:textId="77777777" w:rsidR="000A5CCE" w:rsidRPr="00407D3B" w:rsidRDefault="000A5CCE" w:rsidP="008E5BFC">
            <w:pPr>
              <w:jc w:val="right"/>
              <w:rPr>
                <w:color w:val="000000"/>
                <w:sz w:val="22"/>
                <w:szCs w:val="22"/>
              </w:rPr>
            </w:pPr>
            <w:r w:rsidRPr="00407D3B">
              <w:rPr>
                <w:color w:val="000000"/>
                <w:sz w:val="22"/>
                <w:szCs w:val="22"/>
              </w:rPr>
              <w:t>0.410</w:t>
            </w:r>
          </w:p>
        </w:tc>
        <w:tc>
          <w:tcPr>
            <w:tcW w:w="2045" w:type="dxa"/>
            <w:shd w:val="clear" w:color="auto" w:fill="auto"/>
            <w:noWrap/>
            <w:vAlign w:val="bottom"/>
            <w:hideMark/>
          </w:tcPr>
          <w:p w14:paraId="598DE25A" w14:textId="77777777" w:rsidR="000A5CCE" w:rsidRPr="00407D3B" w:rsidRDefault="000A5CCE" w:rsidP="008E5BFC">
            <w:pPr>
              <w:jc w:val="right"/>
              <w:rPr>
                <w:sz w:val="22"/>
                <w:szCs w:val="22"/>
              </w:rPr>
            </w:pPr>
            <w:r w:rsidRPr="00407D3B">
              <w:rPr>
                <w:sz w:val="22"/>
                <w:szCs w:val="22"/>
              </w:rPr>
              <w:t>N2(</w:t>
            </w:r>
            <w:proofErr w:type="spellStart"/>
            <w:proofErr w:type="gramStart"/>
            <w:r w:rsidRPr="00407D3B">
              <w:rPr>
                <w:sz w:val="22"/>
                <w:szCs w:val="22"/>
              </w:rPr>
              <w:t>k</w:t>
            </w:r>
            <w:r w:rsidRPr="00407D3B">
              <w:rPr>
                <w:i/>
                <w:iCs/>
                <w:sz w:val="22"/>
                <w:szCs w:val="22"/>
              </w:rPr>
              <w:t>,h</w:t>
            </w:r>
            <w:proofErr w:type="gramEnd"/>
            <w:r w:rsidRPr="00407D3B">
              <w:rPr>
                <w:i/>
                <w:iCs/>
                <w:sz w:val="22"/>
                <w:szCs w:val="22"/>
              </w:rPr>
              <w:t>;p</w:t>
            </w:r>
            <w:proofErr w:type="spellEnd"/>
            <w:r w:rsidRPr="00407D3B">
              <w:rPr>
                <w:sz w:val="22"/>
                <w:szCs w:val="22"/>
              </w:rPr>
              <w:t>)</w:t>
            </w:r>
          </w:p>
        </w:tc>
        <w:tc>
          <w:tcPr>
            <w:tcW w:w="992" w:type="dxa"/>
            <w:shd w:val="clear" w:color="auto" w:fill="auto"/>
            <w:noWrap/>
            <w:vAlign w:val="bottom"/>
            <w:hideMark/>
          </w:tcPr>
          <w:p w14:paraId="33318C55" w14:textId="77777777" w:rsidR="000A5CCE" w:rsidRPr="00407D3B" w:rsidRDefault="000A5CCE" w:rsidP="008E5BFC">
            <w:pPr>
              <w:jc w:val="right"/>
              <w:rPr>
                <w:color w:val="000000"/>
                <w:sz w:val="22"/>
                <w:szCs w:val="22"/>
              </w:rPr>
            </w:pPr>
            <w:r w:rsidRPr="00407D3B">
              <w:rPr>
                <w:color w:val="000000"/>
                <w:sz w:val="22"/>
                <w:szCs w:val="22"/>
              </w:rPr>
              <w:t>0.541</w:t>
            </w:r>
          </w:p>
        </w:tc>
      </w:tr>
      <w:tr w:rsidR="000A5CCE" w:rsidRPr="00407D3B" w14:paraId="62F900F2" w14:textId="77777777" w:rsidTr="008E5BFC">
        <w:trPr>
          <w:trHeight w:val="320"/>
        </w:trPr>
        <w:tc>
          <w:tcPr>
            <w:tcW w:w="2047" w:type="dxa"/>
            <w:shd w:val="clear" w:color="auto" w:fill="auto"/>
            <w:noWrap/>
            <w:vAlign w:val="bottom"/>
            <w:hideMark/>
          </w:tcPr>
          <w:p w14:paraId="7AFD82DF" w14:textId="77777777" w:rsidR="000A5CCE" w:rsidRPr="00407D3B" w:rsidRDefault="000A5CCE" w:rsidP="008E5BFC">
            <w:pPr>
              <w:jc w:val="right"/>
              <w:rPr>
                <w:sz w:val="22"/>
                <w:szCs w:val="22"/>
              </w:rPr>
            </w:pPr>
            <w:r w:rsidRPr="00407D3B">
              <w:rPr>
                <w:sz w:val="22"/>
                <w:szCs w:val="22"/>
              </w:rPr>
              <w:t>(k-sigma*SQRT(K1))</w:t>
            </w:r>
          </w:p>
        </w:tc>
        <w:tc>
          <w:tcPr>
            <w:tcW w:w="1072" w:type="dxa"/>
            <w:shd w:val="clear" w:color="auto" w:fill="auto"/>
            <w:noWrap/>
            <w:vAlign w:val="bottom"/>
            <w:hideMark/>
          </w:tcPr>
          <w:p w14:paraId="6A92B180" w14:textId="77777777" w:rsidR="000A5CCE" w:rsidRPr="00407D3B" w:rsidRDefault="000A5CCE" w:rsidP="008E5BFC">
            <w:pPr>
              <w:jc w:val="right"/>
              <w:rPr>
                <w:color w:val="000000"/>
                <w:sz w:val="22"/>
                <w:szCs w:val="22"/>
              </w:rPr>
            </w:pPr>
            <w:r w:rsidRPr="00407D3B">
              <w:rPr>
                <w:color w:val="000000"/>
                <w:sz w:val="22"/>
                <w:szCs w:val="22"/>
              </w:rPr>
              <w:t>-0.919</w:t>
            </w:r>
          </w:p>
        </w:tc>
        <w:tc>
          <w:tcPr>
            <w:tcW w:w="1903" w:type="dxa"/>
            <w:shd w:val="clear" w:color="auto" w:fill="auto"/>
            <w:noWrap/>
            <w:vAlign w:val="bottom"/>
            <w:hideMark/>
          </w:tcPr>
          <w:p w14:paraId="18B06B85" w14:textId="77777777" w:rsidR="000A5CCE" w:rsidRPr="00407D3B" w:rsidRDefault="000A5CCE" w:rsidP="008E5BFC">
            <w:pPr>
              <w:jc w:val="right"/>
              <w:rPr>
                <w:sz w:val="22"/>
                <w:szCs w:val="22"/>
              </w:rPr>
            </w:pPr>
            <w:r w:rsidRPr="00407D3B">
              <w:rPr>
                <w:sz w:val="22"/>
                <w:szCs w:val="22"/>
              </w:rPr>
              <w:t>(k-sigma*SQRT(K1))</w:t>
            </w:r>
          </w:p>
        </w:tc>
        <w:tc>
          <w:tcPr>
            <w:tcW w:w="981" w:type="dxa"/>
            <w:shd w:val="clear" w:color="auto" w:fill="auto"/>
            <w:noWrap/>
            <w:vAlign w:val="bottom"/>
            <w:hideMark/>
          </w:tcPr>
          <w:p w14:paraId="431995FF" w14:textId="77777777" w:rsidR="000A5CCE" w:rsidRPr="00407D3B" w:rsidRDefault="000A5CCE" w:rsidP="008E5BFC">
            <w:pPr>
              <w:jc w:val="right"/>
              <w:rPr>
                <w:color w:val="000000"/>
                <w:sz w:val="22"/>
                <w:szCs w:val="22"/>
              </w:rPr>
            </w:pPr>
            <w:r w:rsidRPr="00407D3B">
              <w:rPr>
                <w:color w:val="000000"/>
                <w:sz w:val="22"/>
                <w:szCs w:val="22"/>
              </w:rPr>
              <w:t>-1.656</w:t>
            </w:r>
          </w:p>
        </w:tc>
        <w:tc>
          <w:tcPr>
            <w:tcW w:w="2045" w:type="dxa"/>
            <w:shd w:val="clear" w:color="auto" w:fill="auto"/>
            <w:noWrap/>
            <w:vAlign w:val="bottom"/>
            <w:hideMark/>
          </w:tcPr>
          <w:p w14:paraId="479C38D2" w14:textId="77777777" w:rsidR="000A5CCE" w:rsidRPr="00407D3B" w:rsidRDefault="000A5CCE" w:rsidP="008E5BFC">
            <w:pPr>
              <w:jc w:val="right"/>
              <w:rPr>
                <w:sz w:val="22"/>
                <w:szCs w:val="22"/>
              </w:rPr>
            </w:pPr>
            <w:r w:rsidRPr="00407D3B">
              <w:rPr>
                <w:sz w:val="22"/>
                <w:szCs w:val="22"/>
              </w:rPr>
              <w:t>(k-sigma*SQRT(K1))</w:t>
            </w:r>
          </w:p>
        </w:tc>
        <w:tc>
          <w:tcPr>
            <w:tcW w:w="992" w:type="dxa"/>
            <w:shd w:val="clear" w:color="auto" w:fill="auto"/>
            <w:noWrap/>
            <w:vAlign w:val="bottom"/>
            <w:hideMark/>
          </w:tcPr>
          <w:p w14:paraId="4F3C9A51" w14:textId="77777777" w:rsidR="000A5CCE" w:rsidRPr="00407D3B" w:rsidRDefault="000A5CCE" w:rsidP="008E5BFC">
            <w:pPr>
              <w:jc w:val="right"/>
              <w:rPr>
                <w:color w:val="000000"/>
                <w:sz w:val="22"/>
                <w:szCs w:val="22"/>
              </w:rPr>
            </w:pPr>
            <w:r w:rsidRPr="00407D3B">
              <w:rPr>
                <w:color w:val="000000"/>
                <w:sz w:val="22"/>
                <w:szCs w:val="22"/>
              </w:rPr>
              <w:t>-1.660</w:t>
            </w:r>
          </w:p>
        </w:tc>
      </w:tr>
      <w:tr w:rsidR="000A5CCE" w:rsidRPr="00407D3B" w14:paraId="02A533EA" w14:textId="77777777" w:rsidTr="008E5BFC">
        <w:trPr>
          <w:trHeight w:val="320"/>
        </w:trPr>
        <w:tc>
          <w:tcPr>
            <w:tcW w:w="2047" w:type="dxa"/>
            <w:shd w:val="clear" w:color="auto" w:fill="auto"/>
            <w:noWrap/>
            <w:vAlign w:val="bottom"/>
            <w:hideMark/>
          </w:tcPr>
          <w:p w14:paraId="05A636DC" w14:textId="77777777" w:rsidR="000A5CCE" w:rsidRPr="00407D3B" w:rsidRDefault="000A5CCE" w:rsidP="008E5BFC">
            <w:pPr>
              <w:jc w:val="right"/>
              <w:rPr>
                <w:sz w:val="22"/>
                <w:szCs w:val="22"/>
              </w:rPr>
            </w:pPr>
            <w:r w:rsidRPr="00407D3B">
              <w:rPr>
                <w:sz w:val="22"/>
                <w:szCs w:val="22"/>
              </w:rPr>
              <w:t>(h-sigma*SQRT(K1))</w:t>
            </w:r>
          </w:p>
        </w:tc>
        <w:tc>
          <w:tcPr>
            <w:tcW w:w="1072" w:type="dxa"/>
            <w:shd w:val="clear" w:color="auto" w:fill="auto"/>
            <w:noWrap/>
            <w:vAlign w:val="bottom"/>
            <w:hideMark/>
          </w:tcPr>
          <w:p w14:paraId="54933B76" w14:textId="77777777" w:rsidR="000A5CCE" w:rsidRPr="00407D3B" w:rsidRDefault="000A5CCE" w:rsidP="008E5BFC">
            <w:pPr>
              <w:jc w:val="right"/>
              <w:rPr>
                <w:color w:val="000000"/>
                <w:sz w:val="22"/>
                <w:szCs w:val="22"/>
              </w:rPr>
            </w:pPr>
            <w:r w:rsidRPr="00407D3B">
              <w:rPr>
                <w:color w:val="000000"/>
                <w:sz w:val="22"/>
                <w:szCs w:val="22"/>
              </w:rPr>
              <w:t>-0.693</w:t>
            </w:r>
          </w:p>
        </w:tc>
        <w:tc>
          <w:tcPr>
            <w:tcW w:w="1903" w:type="dxa"/>
            <w:shd w:val="clear" w:color="auto" w:fill="auto"/>
            <w:noWrap/>
            <w:vAlign w:val="bottom"/>
            <w:hideMark/>
          </w:tcPr>
          <w:p w14:paraId="2F5CF7C8" w14:textId="77777777" w:rsidR="000A5CCE" w:rsidRPr="00407D3B" w:rsidRDefault="000A5CCE" w:rsidP="008E5BFC">
            <w:pPr>
              <w:jc w:val="right"/>
              <w:rPr>
                <w:sz w:val="22"/>
                <w:szCs w:val="22"/>
              </w:rPr>
            </w:pPr>
            <w:r w:rsidRPr="00407D3B">
              <w:rPr>
                <w:sz w:val="22"/>
                <w:szCs w:val="22"/>
              </w:rPr>
              <w:t>(h-sigma*SQRT(K1))</w:t>
            </w:r>
          </w:p>
        </w:tc>
        <w:tc>
          <w:tcPr>
            <w:tcW w:w="981" w:type="dxa"/>
            <w:shd w:val="clear" w:color="auto" w:fill="auto"/>
            <w:noWrap/>
            <w:vAlign w:val="bottom"/>
            <w:hideMark/>
          </w:tcPr>
          <w:p w14:paraId="1C9A8C4D" w14:textId="77777777" w:rsidR="000A5CCE" w:rsidRPr="00407D3B" w:rsidRDefault="000A5CCE" w:rsidP="008E5BFC">
            <w:pPr>
              <w:jc w:val="right"/>
              <w:rPr>
                <w:color w:val="000000"/>
                <w:sz w:val="22"/>
                <w:szCs w:val="22"/>
              </w:rPr>
            </w:pPr>
            <w:r w:rsidRPr="00407D3B">
              <w:rPr>
                <w:color w:val="000000"/>
                <w:sz w:val="22"/>
                <w:szCs w:val="22"/>
              </w:rPr>
              <w:t>-1.778</w:t>
            </w:r>
          </w:p>
        </w:tc>
        <w:tc>
          <w:tcPr>
            <w:tcW w:w="2045" w:type="dxa"/>
            <w:shd w:val="clear" w:color="auto" w:fill="auto"/>
            <w:noWrap/>
            <w:vAlign w:val="bottom"/>
            <w:hideMark/>
          </w:tcPr>
          <w:p w14:paraId="700514E0" w14:textId="77777777" w:rsidR="000A5CCE" w:rsidRPr="00407D3B" w:rsidRDefault="000A5CCE" w:rsidP="008E5BFC">
            <w:pPr>
              <w:jc w:val="right"/>
              <w:rPr>
                <w:sz w:val="22"/>
                <w:szCs w:val="22"/>
              </w:rPr>
            </w:pPr>
            <w:r w:rsidRPr="00407D3B">
              <w:rPr>
                <w:sz w:val="22"/>
                <w:szCs w:val="22"/>
              </w:rPr>
              <w:t>(h-sigma*SQRT(K1))</w:t>
            </w:r>
          </w:p>
        </w:tc>
        <w:tc>
          <w:tcPr>
            <w:tcW w:w="992" w:type="dxa"/>
            <w:shd w:val="clear" w:color="auto" w:fill="auto"/>
            <w:noWrap/>
            <w:vAlign w:val="bottom"/>
            <w:hideMark/>
          </w:tcPr>
          <w:p w14:paraId="0DFECA57" w14:textId="77777777" w:rsidR="000A5CCE" w:rsidRPr="00407D3B" w:rsidRDefault="000A5CCE" w:rsidP="008E5BFC">
            <w:pPr>
              <w:jc w:val="right"/>
              <w:rPr>
                <w:color w:val="000000"/>
                <w:sz w:val="22"/>
                <w:szCs w:val="22"/>
              </w:rPr>
            </w:pPr>
            <w:r w:rsidRPr="00407D3B">
              <w:rPr>
                <w:color w:val="000000"/>
                <w:sz w:val="22"/>
                <w:szCs w:val="22"/>
              </w:rPr>
              <w:t>-1.785</w:t>
            </w:r>
          </w:p>
        </w:tc>
      </w:tr>
      <w:tr w:rsidR="000A5CCE" w:rsidRPr="00407D3B" w14:paraId="637B4408" w14:textId="77777777" w:rsidTr="008E5BFC">
        <w:trPr>
          <w:trHeight w:val="320"/>
        </w:trPr>
        <w:tc>
          <w:tcPr>
            <w:tcW w:w="2047" w:type="dxa"/>
            <w:shd w:val="clear" w:color="auto" w:fill="auto"/>
            <w:noWrap/>
            <w:vAlign w:val="bottom"/>
            <w:hideMark/>
          </w:tcPr>
          <w:p w14:paraId="16C5565A" w14:textId="77777777" w:rsidR="000A5CCE" w:rsidRPr="00407D3B" w:rsidRDefault="000A5CCE" w:rsidP="008E5BFC">
            <w:pPr>
              <w:jc w:val="right"/>
              <w:rPr>
                <w:sz w:val="22"/>
                <w:szCs w:val="22"/>
              </w:rPr>
            </w:pPr>
            <w:r w:rsidRPr="00407D3B">
              <w:rPr>
                <w:sz w:val="22"/>
                <w:szCs w:val="22"/>
              </w:rPr>
              <w:t>N2</w:t>
            </w:r>
            <w:r>
              <w:rPr>
                <w:sz w:val="22"/>
                <w:szCs w:val="22"/>
              </w:rPr>
              <w:t>(A69</w:t>
            </w:r>
            <w:proofErr w:type="gramStart"/>
            <w:r>
              <w:rPr>
                <w:sz w:val="22"/>
                <w:szCs w:val="22"/>
              </w:rPr>
              <w:t>),(</w:t>
            </w:r>
            <w:proofErr w:type="gramEnd"/>
            <w:r>
              <w:rPr>
                <w:sz w:val="22"/>
                <w:szCs w:val="22"/>
              </w:rPr>
              <w:t xml:space="preserve">A70); </w:t>
            </w:r>
            <w:r w:rsidRPr="00407D3B">
              <w:rPr>
                <w:sz w:val="22"/>
                <w:szCs w:val="22"/>
              </w:rPr>
              <w:t>p)</w:t>
            </w:r>
            <w:r>
              <w:rPr>
                <w:sz w:val="22"/>
                <w:szCs w:val="22"/>
              </w:rPr>
              <w:t>)</w:t>
            </w:r>
          </w:p>
        </w:tc>
        <w:tc>
          <w:tcPr>
            <w:tcW w:w="1072" w:type="dxa"/>
            <w:shd w:val="clear" w:color="auto" w:fill="auto"/>
            <w:noWrap/>
            <w:vAlign w:val="bottom"/>
            <w:hideMark/>
          </w:tcPr>
          <w:p w14:paraId="2B8E72F8" w14:textId="77777777" w:rsidR="000A5CCE" w:rsidRPr="00407D3B" w:rsidRDefault="000A5CCE" w:rsidP="008E5BFC">
            <w:pPr>
              <w:jc w:val="right"/>
              <w:rPr>
                <w:color w:val="000000"/>
                <w:sz w:val="22"/>
                <w:szCs w:val="22"/>
              </w:rPr>
            </w:pPr>
            <w:r w:rsidRPr="00407D3B">
              <w:rPr>
                <w:color w:val="000000"/>
                <w:sz w:val="22"/>
                <w:szCs w:val="22"/>
              </w:rPr>
              <w:t>0.078</w:t>
            </w:r>
          </w:p>
        </w:tc>
        <w:tc>
          <w:tcPr>
            <w:tcW w:w="1903" w:type="dxa"/>
            <w:shd w:val="clear" w:color="auto" w:fill="auto"/>
            <w:noWrap/>
            <w:vAlign w:val="bottom"/>
            <w:hideMark/>
          </w:tcPr>
          <w:p w14:paraId="12DD6E63" w14:textId="77777777" w:rsidR="000A5CCE" w:rsidRPr="00407D3B" w:rsidRDefault="000A5CCE" w:rsidP="008E5BFC">
            <w:pPr>
              <w:jc w:val="right"/>
              <w:rPr>
                <w:sz w:val="22"/>
                <w:szCs w:val="22"/>
              </w:rPr>
            </w:pPr>
            <w:r w:rsidRPr="00407D3B">
              <w:rPr>
                <w:sz w:val="22"/>
                <w:szCs w:val="22"/>
              </w:rPr>
              <w:t>N2</w:t>
            </w:r>
            <w:r>
              <w:rPr>
                <w:sz w:val="22"/>
                <w:szCs w:val="22"/>
              </w:rPr>
              <w:t>(A69</w:t>
            </w:r>
            <w:proofErr w:type="gramStart"/>
            <w:r>
              <w:rPr>
                <w:sz w:val="22"/>
                <w:szCs w:val="22"/>
              </w:rPr>
              <w:t>),(</w:t>
            </w:r>
            <w:proofErr w:type="gramEnd"/>
            <w:r>
              <w:rPr>
                <w:sz w:val="22"/>
                <w:szCs w:val="22"/>
              </w:rPr>
              <w:t xml:space="preserve">A70); </w:t>
            </w:r>
            <w:r w:rsidRPr="00407D3B">
              <w:rPr>
                <w:sz w:val="22"/>
                <w:szCs w:val="22"/>
              </w:rPr>
              <w:t>p)</w:t>
            </w:r>
            <w:r>
              <w:rPr>
                <w:sz w:val="22"/>
                <w:szCs w:val="22"/>
              </w:rPr>
              <w:t>)</w:t>
            </w:r>
          </w:p>
        </w:tc>
        <w:tc>
          <w:tcPr>
            <w:tcW w:w="981" w:type="dxa"/>
            <w:shd w:val="clear" w:color="auto" w:fill="auto"/>
            <w:noWrap/>
            <w:vAlign w:val="bottom"/>
            <w:hideMark/>
          </w:tcPr>
          <w:p w14:paraId="53E07AB8" w14:textId="77777777" w:rsidR="000A5CCE" w:rsidRPr="00407D3B" w:rsidRDefault="000A5CCE" w:rsidP="008E5BFC">
            <w:pPr>
              <w:jc w:val="right"/>
              <w:rPr>
                <w:color w:val="000000"/>
                <w:sz w:val="22"/>
                <w:szCs w:val="22"/>
              </w:rPr>
            </w:pPr>
            <w:r w:rsidRPr="00407D3B">
              <w:rPr>
                <w:color w:val="000000"/>
                <w:sz w:val="22"/>
                <w:szCs w:val="22"/>
              </w:rPr>
              <w:t>0.019</w:t>
            </w:r>
          </w:p>
        </w:tc>
        <w:tc>
          <w:tcPr>
            <w:tcW w:w="2045" w:type="dxa"/>
            <w:shd w:val="clear" w:color="auto" w:fill="auto"/>
            <w:noWrap/>
            <w:vAlign w:val="bottom"/>
            <w:hideMark/>
          </w:tcPr>
          <w:p w14:paraId="65D0CBDE" w14:textId="77777777" w:rsidR="000A5CCE" w:rsidRPr="00407D3B" w:rsidRDefault="000A5CCE" w:rsidP="008E5BFC">
            <w:pPr>
              <w:jc w:val="right"/>
              <w:rPr>
                <w:sz w:val="22"/>
                <w:szCs w:val="22"/>
              </w:rPr>
            </w:pPr>
            <w:r w:rsidRPr="00407D3B">
              <w:rPr>
                <w:sz w:val="22"/>
                <w:szCs w:val="22"/>
              </w:rPr>
              <w:t>N2</w:t>
            </w:r>
            <w:r>
              <w:rPr>
                <w:sz w:val="22"/>
                <w:szCs w:val="22"/>
              </w:rPr>
              <w:t>(A69</w:t>
            </w:r>
            <w:proofErr w:type="gramStart"/>
            <w:r>
              <w:rPr>
                <w:sz w:val="22"/>
                <w:szCs w:val="22"/>
              </w:rPr>
              <w:t>),(</w:t>
            </w:r>
            <w:proofErr w:type="gramEnd"/>
            <w:r>
              <w:rPr>
                <w:sz w:val="22"/>
                <w:szCs w:val="22"/>
              </w:rPr>
              <w:t xml:space="preserve">A70); </w:t>
            </w:r>
            <w:r w:rsidRPr="00407D3B">
              <w:rPr>
                <w:sz w:val="22"/>
                <w:szCs w:val="22"/>
              </w:rPr>
              <w:t>p)</w:t>
            </w:r>
            <w:r>
              <w:rPr>
                <w:sz w:val="22"/>
                <w:szCs w:val="22"/>
              </w:rPr>
              <w:t>)</w:t>
            </w:r>
          </w:p>
        </w:tc>
        <w:tc>
          <w:tcPr>
            <w:tcW w:w="992" w:type="dxa"/>
            <w:shd w:val="clear" w:color="auto" w:fill="auto"/>
            <w:noWrap/>
            <w:vAlign w:val="bottom"/>
            <w:hideMark/>
          </w:tcPr>
          <w:p w14:paraId="1629FA7D" w14:textId="77777777" w:rsidR="000A5CCE" w:rsidRPr="00407D3B" w:rsidRDefault="000A5CCE" w:rsidP="008E5BFC">
            <w:pPr>
              <w:jc w:val="right"/>
              <w:rPr>
                <w:color w:val="000000"/>
                <w:sz w:val="22"/>
                <w:szCs w:val="22"/>
              </w:rPr>
            </w:pPr>
            <w:r w:rsidRPr="00407D3B">
              <w:rPr>
                <w:color w:val="000000"/>
                <w:sz w:val="22"/>
                <w:szCs w:val="22"/>
              </w:rPr>
              <w:t>0.023</w:t>
            </w:r>
          </w:p>
        </w:tc>
      </w:tr>
      <w:tr w:rsidR="000A5CCE" w:rsidRPr="00407D3B" w14:paraId="2924EBCD" w14:textId="77777777" w:rsidTr="008E5BFC">
        <w:trPr>
          <w:trHeight w:val="320"/>
        </w:trPr>
        <w:tc>
          <w:tcPr>
            <w:tcW w:w="2047" w:type="dxa"/>
            <w:shd w:val="clear" w:color="auto" w:fill="auto"/>
            <w:noWrap/>
            <w:vAlign w:val="bottom"/>
            <w:hideMark/>
          </w:tcPr>
          <w:p w14:paraId="0AEDD0B5" w14:textId="77777777" w:rsidR="000A5CCE" w:rsidRPr="00407D3B" w:rsidRDefault="000A5CCE" w:rsidP="008E5BFC">
            <w:pPr>
              <w:jc w:val="right"/>
              <w:rPr>
                <w:i/>
                <w:iCs/>
                <w:sz w:val="22"/>
                <w:szCs w:val="22"/>
              </w:rPr>
            </w:pPr>
            <w:r w:rsidRPr="00407D3B">
              <w:rPr>
                <w:i/>
                <w:iCs/>
                <w:sz w:val="22"/>
                <w:szCs w:val="22"/>
              </w:rPr>
              <w:t>k-</w:t>
            </w:r>
            <w:proofErr w:type="spellStart"/>
            <w:r w:rsidRPr="00407D3B">
              <w:rPr>
                <w:i/>
                <w:iCs/>
                <w:sz w:val="22"/>
                <w:szCs w:val="22"/>
              </w:rPr>
              <w:t>sigmaSQRT</w:t>
            </w:r>
            <w:proofErr w:type="spellEnd"/>
            <w:r w:rsidRPr="00407D3B">
              <w:rPr>
                <w:i/>
                <w:iCs/>
                <w:sz w:val="22"/>
                <w:szCs w:val="22"/>
              </w:rPr>
              <w:t>(T</w:t>
            </w:r>
            <w:r w:rsidRPr="00407D3B">
              <w:rPr>
                <w:sz w:val="22"/>
                <w:szCs w:val="22"/>
                <w:vertAlign w:val="subscript"/>
              </w:rPr>
              <w:t>1</w:t>
            </w:r>
            <w:r w:rsidRPr="00407D3B">
              <w:rPr>
                <w:i/>
                <w:iCs/>
                <w:sz w:val="22"/>
                <w:szCs w:val="22"/>
              </w:rPr>
              <w:t>)</w:t>
            </w:r>
          </w:p>
        </w:tc>
        <w:tc>
          <w:tcPr>
            <w:tcW w:w="1072" w:type="dxa"/>
            <w:shd w:val="clear" w:color="auto" w:fill="auto"/>
            <w:noWrap/>
            <w:vAlign w:val="bottom"/>
            <w:hideMark/>
          </w:tcPr>
          <w:p w14:paraId="606C7583" w14:textId="77777777" w:rsidR="000A5CCE" w:rsidRPr="00407D3B" w:rsidRDefault="000A5CCE" w:rsidP="008E5BFC">
            <w:pPr>
              <w:jc w:val="right"/>
              <w:rPr>
                <w:color w:val="000000"/>
                <w:sz w:val="22"/>
                <w:szCs w:val="22"/>
              </w:rPr>
            </w:pPr>
            <w:r w:rsidRPr="00407D3B">
              <w:rPr>
                <w:color w:val="000000"/>
                <w:sz w:val="22"/>
                <w:szCs w:val="22"/>
              </w:rPr>
              <w:t>-0.601</w:t>
            </w:r>
          </w:p>
        </w:tc>
        <w:tc>
          <w:tcPr>
            <w:tcW w:w="1903" w:type="dxa"/>
            <w:shd w:val="clear" w:color="auto" w:fill="auto"/>
            <w:noWrap/>
            <w:vAlign w:val="bottom"/>
            <w:hideMark/>
          </w:tcPr>
          <w:p w14:paraId="3BE5008D" w14:textId="77777777" w:rsidR="000A5CCE" w:rsidRPr="00407D3B" w:rsidRDefault="000A5CCE" w:rsidP="008E5BFC">
            <w:pPr>
              <w:jc w:val="right"/>
              <w:rPr>
                <w:i/>
                <w:iCs/>
                <w:sz w:val="22"/>
                <w:szCs w:val="22"/>
              </w:rPr>
            </w:pPr>
            <w:r w:rsidRPr="00407D3B">
              <w:rPr>
                <w:i/>
                <w:iCs/>
                <w:sz w:val="22"/>
                <w:szCs w:val="22"/>
              </w:rPr>
              <w:t>k-</w:t>
            </w:r>
            <w:proofErr w:type="spellStart"/>
            <w:r w:rsidRPr="00407D3B">
              <w:rPr>
                <w:i/>
                <w:iCs/>
                <w:sz w:val="22"/>
                <w:szCs w:val="22"/>
              </w:rPr>
              <w:t>sigmaSQRT</w:t>
            </w:r>
            <w:proofErr w:type="spellEnd"/>
            <w:r w:rsidRPr="00407D3B">
              <w:rPr>
                <w:i/>
                <w:iCs/>
                <w:sz w:val="22"/>
                <w:szCs w:val="22"/>
              </w:rPr>
              <w:t>(T</w:t>
            </w:r>
            <w:r w:rsidRPr="00407D3B">
              <w:rPr>
                <w:sz w:val="22"/>
                <w:szCs w:val="22"/>
                <w:vertAlign w:val="subscript"/>
              </w:rPr>
              <w:t>1</w:t>
            </w:r>
            <w:r w:rsidRPr="00407D3B">
              <w:rPr>
                <w:i/>
                <w:iCs/>
                <w:sz w:val="22"/>
                <w:szCs w:val="22"/>
              </w:rPr>
              <w:t>)</w:t>
            </w:r>
          </w:p>
        </w:tc>
        <w:tc>
          <w:tcPr>
            <w:tcW w:w="981" w:type="dxa"/>
            <w:shd w:val="clear" w:color="auto" w:fill="auto"/>
            <w:noWrap/>
            <w:vAlign w:val="bottom"/>
            <w:hideMark/>
          </w:tcPr>
          <w:p w14:paraId="5B52F285" w14:textId="77777777" w:rsidR="000A5CCE" w:rsidRPr="00407D3B" w:rsidRDefault="000A5CCE" w:rsidP="008E5BFC">
            <w:pPr>
              <w:jc w:val="right"/>
              <w:rPr>
                <w:color w:val="000000"/>
                <w:sz w:val="22"/>
                <w:szCs w:val="22"/>
              </w:rPr>
            </w:pPr>
            <w:r w:rsidRPr="00407D3B">
              <w:rPr>
                <w:color w:val="000000"/>
                <w:sz w:val="22"/>
                <w:szCs w:val="22"/>
              </w:rPr>
              <w:t>-1.338</w:t>
            </w:r>
          </w:p>
        </w:tc>
        <w:tc>
          <w:tcPr>
            <w:tcW w:w="2045" w:type="dxa"/>
            <w:shd w:val="clear" w:color="auto" w:fill="auto"/>
            <w:noWrap/>
            <w:vAlign w:val="bottom"/>
            <w:hideMark/>
          </w:tcPr>
          <w:p w14:paraId="182EB53B" w14:textId="77777777" w:rsidR="000A5CCE" w:rsidRPr="00407D3B" w:rsidRDefault="000A5CCE" w:rsidP="008E5BFC">
            <w:pPr>
              <w:jc w:val="right"/>
              <w:rPr>
                <w:i/>
                <w:iCs/>
                <w:sz w:val="22"/>
                <w:szCs w:val="22"/>
              </w:rPr>
            </w:pPr>
            <w:r w:rsidRPr="00407D3B">
              <w:rPr>
                <w:i/>
                <w:iCs/>
                <w:sz w:val="22"/>
                <w:szCs w:val="22"/>
              </w:rPr>
              <w:t>k-</w:t>
            </w:r>
            <w:proofErr w:type="spellStart"/>
            <w:r w:rsidRPr="00407D3B">
              <w:rPr>
                <w:i/>
                <w:iCs/>
                <w:sz w:val="22"/>
                <w:szCs w:val="22"/>
              </w:rPr>
              <w:t>sigmaSQRT</w:t>
            </w:r>
            <w:proofErr w:type="spellEnd"/>
            <w:r w:rsidRPr="00407D3B">
              <w:rPr>
                <w:i/>
                <w:iCs/>
                <w:sz w:val="22"/>
                <w:szCs w:val="22"/>
              </w:rPr>
              <w:t>(T</w:t>
            </w:r>
            <w:r w:rsidRPr="00407D3B">
              <w:rPr>
                <w:sz w:val="22"/>
                <w:szCs w:val="22"/>
                <w:vertAlign w:val="subscript"/>
              </w:rPr>
              <w:t>1</w:t>
            </w:r>
            <w:r w:rsidRPr="00407D3B">
              <w:rPr>
                <w:i/>
                <w:iCs/>
                <w:sz w:val="22"/>
                <w:szCs w:val="22"/>
              </w:rPr>
              <w:t>)</w:t>
            </w:r>
          </w:p>
        </w:tc>
        <w:tc>
          <w:tcPr>
            <w:tcW w:w="992" w:type="dxa"/>
            <w:shd w:val="clear" w:color="auto" w:fill="auto"/>
            <w:noWrap/>
            <w:vAlign w:val="bottom"/>
            <w:hideMark/>
          </w:tcPr>
          <w:p w14:paraId="52EB54E6" w14:textId="77777777" w:rsidR="000A5CCE" w:rsidRPr="00407D3B" w:rsidRDefault="000A5CCE" w:rsidP="008E5BFC">
            <w:pPr>
              <w:jc w:val="right"/>
              <w:rPr>
                <w:color w:val="000000"/>
                <w:sz w:val="22"/>
                <w:szCs w:val="22"/>
              </w:rPr>
            </w:pPr>
            <w:r w:rsidRPr="00407D3B">
              <w:rPr>
                <w:color w:val="000000"/>
                <w:sz w:val="22"/>
                <w:szCs w:val="22"/>
              </w:rPr>
              <w:t>-1.342</w:t>
            </w:r>
          </w:p>
        </w:tc>
      </w:tr>
      <w:tr w:rsidR="000A5CCE" w:rsidRPr="00407D3B" w14:paraId="229ED1B3" w14:textId="77777777" w:rsidTr="008E5BFC">
        <w:trPr>
          <w:trHeight w:val="320"/>
        </w:trPr>
        <w:tc>
          <w:tcPr>
            <w:tcW w:w="2047" w:type="dxa"/>
            <w:shd w:val="clear" w:color="auto" w:fill="auto"/>
            <w:noWrap/>
            <w:vAlign w:val="bottom"/>
            <w:hideMark/>
          </w:tcPr>
          <w:p w14:paraId="0876CEB3" w14:textId="77777777" w:rsidR="000A5CCE" w:rsidRPr="00407D3B" w:rsidRDefault="000A5CCE" w:rsidP="008E5BFC">
            <w:pPr>
              <w:jc w:val="right"/>
              <w:rPr>
                <w:sz w:val="22"/>
                <w:szCs w:val="22"/>
              </w:rPr>
            </w:pPr>
            <w:r w:rsidRPr="00407D3B">
              <w:rPr>
                <w:sz w:val="22"/>
                <w:szCs w:val="22"/>
              </w:rPr>
              <w:t>N1(A72)</w:t>
            </w:r>
          </w:p>
        </w:tc>
        <w:tc>
          <w:tcPr>
            <w:tcW w:w="1072" w:type="dxa"/>
            <w:shd w:val="clear" w:color="auto" w:fill="auto"/>
            <w:noWrap/>
            <w:vAlign w:val="bottom"/>
            <w:hideMark/>
          </w:tcPr>
          <w:p w14:paraId="50E4577B" w14:textId="77777777" w:rsidR="000A5CCE" w:rsidRPr="00407D3B" w:rsidRDefault="000A5CCE" w:rsidP="008E5BFC">
            <w:pPr>
              <w:jc w:val="right"/>
              <w:rPr>
                <w:color w:val="000000"/>
                <w:sz w:val="22"/>
                <w:szCs w:val="22"/>
              </w:rPr>
            </w:pPr>
            <w:r w:rsidRPr="00407D3B">
              <w:rPr>
                <w:color w:val="000000"/>
                <w:sz w:val="22"/>
                <w:szCs w:val="22"/>
              </w:rPr>
              <w:t>0.274</w:t>
            </w:r>
          </w:p>
        </w:tc>
        <w:tc>
          <w:tcPr>
            <w:tcW w:w="1903" w:type="dxa"/>
            <w:shd w:val="clear" w:color="auto" w:fill="auto"/>
            <w:noWrap/>
            <w:vAlign w:val="bottom"/>
            <w:hideMark/>
          </w:tcPr>
          <w:p w14:paraId="62FCFB33" w14:textId="77777777" w:rsidR="000A5CCE" w:rsidRPr="00407D3B" w:rsidRDefault="000A5CCE" w:rsidP="008E5BFC">
            <w:pPr>
              <w:jc w:val="right"/>
              <w:rPr>
                <w:sz w:val="22"/>
                <w:szCs w:val="22"/>
              </w:rPr>
            </w:pPr>
            <w:r w:rsidRPr="00407D3B">
              <w:rPr>
                <w:sz w:val="22"/>
                <w:szCs w:val="22"/>
              </w:rPr>
              <w:t>N1(A72)</w:t>
            </w:r>
          </w:p>
        </w:tc>
        <w:tc>
          <w:tcPr>
            <w:tcW w:w="981" w:type="dxa"/>
            <w:shd w:val="clear" w:color="auto" w:fill="auto"/>
            <w:noWrap/>
            <w:vAlign w:val="bottom"/>
            <w:hideMark/>
          </w:tcPr>
          <w:p w14:paraId="1E3DB47D" w14:textId="77777777" w:rsidR="000A5CCE" w:rsidRPr="00407D3B" w:rsidRDefault="000A5CCE" w:rsidP="008E5BFC">
            <w:pPr>
              <w:jc w:val="right"/>
              <w:rPr>
                <w:color w:val="000000"/>
                <w:sz w:val="22"/>
                <w:szCs w:val="22"/>
              </w:rPr>
            </w:pPr>
            <w:r w:rsidRPr="00407D3B">
              <w:rPr>
                <w:color w:val="000000"/>
                <w:sz w:val="22"/>
                <w:szCs w:val="22"/>
              </w:rPr>
              <w:t>0.091</w:t>
            </w:r>
          </w:p>
        </w:tc>
        <w:tc>
          <w:tcPr>
            <w:tcW w:w="2045" w:type="dxa"/>
            <w:shd w:val="clear" w:color="auto" w:fill="auto"/>
            <w:noWrap/>
            <w:vAlign w:val="bottom"/>
            <w:hideMark/>
          </w:tcPr>
          <w:p w14:paraId="4041D489" w14:textId="77777777" w:rsidR="000A5CCE" w:rsidRPr="00407D3B" w:rsidRDefault="000A5CCE" w:rsidP="008E5BFC">
            <w:pPr>
              <w:jc w:val="right"/>
              <w:rPr>
                <w:sz w:val="22"/>
                <w:szCs w:val="22"/>
              </w:rPr>
            </w:pPr>
            <w:r w:rsidRPr="00407D3B">
              <w:rPr>
                <w:sz w:val="22"/>
                <w:szCs w:val="22"/>
              </w:rPr>
              <w:t>N1(A72)</w:t>
            </w:r>
          </w:p>
        </w:tc>
        <w:tc>
          <w:tcPr>
            <w:tcW w:w="992" w:type="dxa"/>
            <w:shd w:val="clear" w:color="auto" w:fill="auto"/>
            <w:noWrap/>
            <w:vAlign w:val="bottom"/>
            <w:hideMark/>
          </w:tcPr>
          <w:p w14:paraId="38835D4B" w14:textId="77777777" w:rsidR="000A5CCE" w:rsidRPr="00407D3B" w:rsidRDefault="000A5CCE" w:rsidP="008E5BFC">
            <w:pPr>
              <w:jc w:val="right"/>
              <w:rPr>
                <w:color w:val="000000"/>
                <w:sz w:val="22"/>
                <w:szCs w:val="22"/>
              </w:rPr>
            </w:pPr>
            <w:r w:rsidRPr="00407D3B">
              <w:rPr>
                <w:color w:val="000000"/>
                <w:sz w:val="22"/>
                <w:szCs w:val="22"/>
              </w:rPr>
              <w:t>0.090</w:t>
            </w:r>
          </w:p>
        </w:tc>
      </w:tr>
    </w:tbl>
    <w:p w14:paraId="32A34384" w14:textId="399D5124" w:rsidR="00D31A76" w:rsidRDefault="00D31A76">
      <w:pPr>
        <w:spacing w:after="160" w:line="259" w:lineRule="auto"/>
        <w:rPr>
          <w:b/>
          <w:bCs/>
        </w:rPr>
      </w:pPr>
    </w:p>
    <w:sectPr w:rsidR="00D31A76">
      <w:footerReference w:type="even" r:id="rId113"/>
      <w:footerReference w:type="default" r:id="rId1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C1C0" w14:textId="77777777" w:rsidR="0010515D" w:rsidRDefault="0010515D" w:rsidP="00CE7453">
      <w:r>
        <w:separator/>
      </w:r>
    </w:p>
  </w:endnote>
  <w:endnote w:type="continuationSeparator" w:id="0">
    <w:p w14:paraId="3BF71EEA" w14:textId="77777777" w:rsidR="0010515D" w:rsidRDefault="0010515D" w:rsidP="00CE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thematica1Mono">
    <w:altName w:val="Symbol"/>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1342377"/>
      <w:docPartObj>
        <w:docPartGallery w:val="Page Numbers (Bottom of Page)"/>
        <w:docPartUnique/>
      </w:docPartObj>
    </w:sdtPr>
    <w:sdtEndPr>
      <w:rPr>
        <w:rStyle w:val="PageNumber"/>
      </w:rPr>
    </w:sdtEndPr>
    <w:sdtContent>
      <w:p w14:paraId="0AEFC62E" w14:textId="77777777" w:rsidR="00F77574" w:rsidRDefault="00F77574" w:rsidP="00F775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297F2" w14:textId="77777777" w:rsidR="00F77574" w:rsidRDefault="00F77574" w:rsidP="002C42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4357339"/>
      <w:docPartObj>
        <w:docPartGallery w:val="Page Numbers (Bottom of Page)"/>
        <w:docPartUnique/>
      </w:docPartObj>
    </w:sdtPr>
    <w:sdtEndPr>
      <w:rPr>
        <w:rStyle w:val="PageNumber"/>
      </w:rPr>
    </w:sdtEndPr>
    <w:sdtContent>
      <w:p w14:paraId="5DF160A6" w14:textId="77777777" w:rsidR="00F77574" w:rsidRDefault="00F77574" w:rsidP="00F775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7628">
          <w:rPr>
            <w:rStyle w:val="PageNumber"/>
            <w:noProof/>
          </w:rPr>
          <w:t>27</w:t>
        </w:r>
        <w:r>
          <w:rPr>
            <w:rStyle w:val="PageNumber"/>
          </w:rPr>
          <w:fldChar w:fldCharType="end"/>
        </w:r>
      </w:p>
    </w:sdtContent>
  </w:sdt>
  <w:p w14:paraId="10159A99" w14:textId="77777777" w:rsidR="00F77574" w:rsidRDefault="00F77574" w:rsidP="002C42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D32B" w14:textId="77777777" w:rsidR="0010515D" w:rsidRDefault="0010515D" w:rsidP="00CE7453">
      <w:r>
        <w:separator/>
      </w:r>
    </w:p>
  </w:footnote>
  <w:footnote w:type="continuationSeparator" w:id="0">
    <w:p w14:paraId="02FBD74A" w14:textId="77777777" w:rsidR="0010515D" w:rsidRDefault="0010515D" w:rsidP="00CE7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81258"/>
    <w:multiLevelType w:val="hybridMultilevel"/>
    <w:tmpl w:val="F0487AC8"/>
    <w:lvl w:ilvl="0" w:tplc="E19A7D2E">
      <w:start w:val="1"/>
      <w:numFmt w:val="bullet"/>
      <w:lvlText w:val=""/>
      <w:lvlJc w:val="left"/>
      <w:pPr>
        <w:tabs>
          <w:tab w:val="num" w:pos="720"/>
        </w:tabs>
        <w:ind w:left="720" w:hanging="360"/>
      </w:pPr>
      <w:rPr>
        <w:rFonts w:ascii="Wingdings" w:hAnsi="Wingdings" w:hint="default"/>
      </w:rPr>
    </w:lvl>
    <w:lvl w:ilvl="1" w:tplc="D1DC77A8" w:tentative="1">
      <w:start w:val="1"/>
      <w:numFmt w:val="bullet"/>
      <w:lvlText w:val=""/>
      <w:lvlJc w:val="left"/>
      <w:pPr>
        <w:tabs>
          <w:tab w:val="num" w:pos="1440"/>
        </w:tabs>
        <w:ind w:left="1440" w:hanging="360"/>
      </w:pPr>
      <w:rPr>
        <w:rFonts w:ascii="Wingdings" w:hAnsi="Wingdings" w:hint="default"/>
      </w:rPr>
    </w:lvl>
    <w:lvl w:ilvl="2" w:tplc="DE3EA6AC" w:tentative="1">
      <w:start w:val="1"/>
      <w:numFmt w:val="bullet"/>
      <w:lvlText w:val=""/>
      <w:lvlJc w:val="left"/>
      <w:pPr>
        <w:tabs>
          <w:tab w:val="num" w:pos="2160"/>
        </w:tabs>
        <w:ind w:left="2160" w:hanging="360"/>
      </w:pPr>
      <w:rPr>
        <w:rFonts w:ascii="Wingdings" w:hAnsi="Wingdings" w:hint="default"/>
      </w:rPr>
    </w:lvl>
    <w:lvl w:ilvl="3" w:tplc="949821F6" w:tentative="1">
      <w:start w:val="1"/>
      <w:numFmt w:val="bullet"/>
      <w:lvlText w:val=""/>
      <w:lvlJc w:val="left"/>
      <w:pPr>
        <w:tabs>
          <w:tab w:val="num" w:pos="2880"/>
        </w:tabs>
        <w:ind w:left="2880" w:hanging="360"/>
      </w:pPr>
      <w:rPr>
        <w:rFonts w:ascii="Wingdings" w:hAnsi="Wingdings" w:hint="default"/>
      </w:rPr>
    </w:lvl>
    <w:lvl w:ilvl="4" w:tplc="3D5C81F6" w:tentative="1">
      <w:start w:val="1"/>
      <w:numFmt w:val="bullet"/>
      <w:lvlText w:val=""/>
      <w:lvlJc w:val="left"/>
      <w:pPr>
        <w:tabs>
          <w:tab w:val="num" w:pos="3600"/>
        </w:tabs>
        <w:ind w:left="3600" w:hanging="360"/>
      </w:pPr>
      <w:rPr>
        <w:rFonts w:ascii="Wingdings" w:hAnsi="Wingdings" w:hint="default"/>
      </w:rPr>
    </w:lvl>
    <w:lvl w:ilvl="5" w:tplc="52CCE52C" w:tentative="1">
      <w:start w:val="1"/>
      <w:numFmt w:val="bullet"/>
      <w:lvlText w:val=""/>
      <w:lvlJc w:val="left"/>
      <w:pPr>
        <w:tabs>
          <w:tab w:val="num" w:pos="4320"/>
        </w:tabs>
        <w:ind w:left="4320" w:hanging="360"/>
      </w:pPr>
      <w:rPr>
        <w:rFonts w:ascii="Wingdings" w:hAnsi="Wingdings" w:hint="default"/>
      </w:rPr>
    </w:lvl>
    <w:lvl w:ilvl="6" w:tplc="6826D892" w:tentative="1">
      <w:start w:val="1"/>
      <w:numFmt w:val="bullet"/>
      <w:lvlText w:val=""/>
      <w:lvlJc w:val="left"/>
      <w:pPr>
        <w:tabs>
          <w:tab w:val="num" w:pos="5040"/>
        </w:tabs>
        <w:ind w:left="5040" w:hanging="360"/>
      </w:pPr>
      <w:rPr>
        <w:rFonts w:ascii="Wingdings" w:hAnsi="Wingdings" w:hint="default"/>
      </w:rPr>
    </w:lvl>
    <w:lvl w:ilvl="7" w:tplc="F00CC278" w:tentative="1">
      <w:start w:val="1"/>
      <w:numFmt w:val="bullet"/>
      <w:lvlText w:val=""/>
      <w:lvlJc w:val="left"/>
      <w:pPr>
        <w:tabs>
          <w:tab w:val="num" w:pos="5760"/>
        </w:tabs>
        <w:ind w:left="5760" w:hanging="360"/>
      </w:pPr>
      <w:rPr>
        <w:rFonts w:ascii="Wingdings" w:hAnsi="Wingdings" w:hint="default"/>
      </w:rPr>
    </w:lvl>
    <w:lvl w:ilvl="8" w:tplc="F89644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6269F4"/>
    <w:multiLevelType w:val="multilevel"/>
    <w:tmpl w:val="C87611DC"/>
    <w:lvl w:ilvl="0">
      <w:start w:val="2"/>
      <w:numFmt w:val="decimal"/>
      <w:isLgl/>
      <w:lvlText w:val="%1"/>
      <w:lvlJc w:val="left"/>
      <w:pPr>
        <w:tabs>
          <w:tab w:val="num" w:pos="510"/>
        </w:tabs>
        <w:ind w:left="510" w:hanging="510"/>
      </w:pPr>
      <w:rPr>
        <w:rFonts w:hint="default"/>
      </w:rPr>
    </w:lvl>
    <w:lvl w:ilvl="1">
      <w:start w:val="1"/>
      <w:numFmt w:val="decimal"/>
      <w:lvlRestart w:val="0"/>
      <w:isLgl/>
      <w:lvlText w:val="%1.%2"/>
      <w:lvlJc w:val="left"/>
      <w:pPr>
        <w:tabs>
          <w:tab w:val="num" w:pos="851"/>
        </w:tabs>
        <w:ind w:left="851" w:hanging="851"/>
      </w:pPr>
      <w:rPr>
        <w:rFonts w:hint="default"/>
      </w:rPr>
    </w:lvl>
    <w:lvl w:ilvl="2">
      <w:start w:val="1"/>
      <w:numFmt w:val="decimal"/>
      <w:lvlText w:val="%1.%2.%3"/>
      <w:lvlJc w:val="left"/>
      <w:pPr>
        <w:tabs>
          <w:tab w:val="num" w:pos="720"/>
        </w:tabs>
        <w:ind w:left="720" w:hanging="3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EA72DCA"/>
    <w:multiLevelType w:val="multilevel"/>
    <w:tmpl w:val="CE342436"/>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none"/>
      <w:lvlText w:val="3.4.3.2"/>
      <w:lvlJc w:val="left"/>
      <w:pPr>
        <w:tabs>
          <w:tab w:val="num" w:pos="720"/>
        </w:tabs>
        <w:ind w:left="720" w:hanging="720"/>
      </w:pPr>
      <w:rPr>
        <w:rFonts w:hint="default"/>
      </w:rPr>
    </w:lvl>
    <w:lvl w:ilvl="3">
      <w:start w:val="1"/>
      <w:numFmt w:val="decimal"/>
      <w:lvlText w:val="3.4.7.%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93E7A46"/>
    <w:multiLevelType w:val="multilevel"/>
    <w:tmpl w:val="CE342436"/>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none"/>
      <w:lvlText w:val="3.4.3.2"/>
      <w:lvlJc w:val="left"/>
      <w:pPr>
        <w:tabs>
          <w:tab w:val="num" w:pos="720"/>
        </w:tabs>
        <w:ind w:left="720" w:hanging="720"/>
      </w:pPr>
      <w:rPr>
        <w:rFonts w:hint="default"/>
      </w:rPr>
    </w:lvl>
    <w:lvl w:ilvl="3">
      <w:start w:val="1"/>
      <w:numFmt w:val="decimal"/>
      <w:lvlText w:val="3.4.7.%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B383EF1"/>
    <w:multiLevelType w:val="multilevel"/>
    <w:tmpl w:val="F9480BAE"/>
    <w:lvl w:ilvl="0">
      <w:start w:val="2"/>
      <w:numFmt w:val="decimal"/>
      <w:isLgl/>
      <w:lvlText w:val="%1"/>
      <w:lvlJc w:val="left"/>
      <w:pPr>
        <w:tabs>
          <w:tab w:val="num" w:pos="510"/>
        </w:tabs>
        <w:ind w:left="510" w:hanging="510"/>
      </w:pPr>
      <w:rPr>
        <w:rFonts w:hint="default"/>
      </w:rPr>
    </w:lvl>
    <w:lvl w:ilvl="1">
      <w:start w:val="1"/>
      <w:numFmt w:val="decimal"/>
      <w:lvlRestart w:val="0"/>
      <w:isLgl/>
      <w:lvlText w:val="%1.%2"/>
      <w:lvlJc w:val="left"/>
      <w:pPr>
        <w:tabs>
          <w:tab w:val="num" w:pos="851"/>
        </w:tabs>
        <w:ind w:left="851" w:hanging="851"/>
      </w:pPr>
      <w:rPr>
        <w:rFonts w:hint="default"/>
      </w:rPr>
    </w:lvl>
    <w:lvl w:ilvl="2">
      <w:start w:val="4"/>
      <w:numFmt w:val="decimal"/>
      <w:lvlText w:val="3.4.%3"/>
      <w:lvlJc w:val="left"/>
      <w:pPr>
        <w:tabs>
          <w:tab w:val="num" w:pos="720"/>
        </w:tabs>
        <w:ind w:left="720" w:hanging="3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9E36ECA"/>
    <w:multiLevelType w:val="hybridMultilevel"/>
    <w:tmpl w:val="3DE86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44C9D"/>
    <w:multiLevelType w:val="hybridMultilevel"/>
    <w:tmpl w:val="D21AD168"/>
    <w:lvl w:ilvl="0" w:tplc="08090001">
      <w:start w:val="1"/>
      <w:numFmt w:val="bullet"/>
      <w:lvlText w:val=""/>
      <w:lvlJc w:val="left"/>
      <w:pPr>
        <w:ind w:left="360" w:hanging="360"/>
      </w:pPr>
      <w:rPr>
        <w:rFonts w:ascii="Symbol" w:hAnsi="Symbol" w:hint="default"/>
      </w:rPr>
    </w:lvl>
    <w:lvl w:ilvl="1" w:tplc="2CA03F2A">
      <w:start w:val="5"/>
      <w:numFmt w:val="bullet"/>
      <w:lvlText w:val="•"/>
      <w:lvlJc w:val="left"/>
      <w:pPr>
        <w:ind w:left="1440" w:hanging="720"/>
      </w:pPr>
      <w:rPr>
        <w:rFonts w:ascii="Garamond" w:eastAsia="Times New Roman" w:hAnsi="Garamond" w:cs="Times New Roman" w:hint="default"/>
      </w:rPr>
    </w:lvl>
    <w:lvl w:ilvl="2" w:tplc="41A6D588">
      <w:start w:val="1"/>
      <w:numFmt w:val="decimal"/>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2NrA0NDcxtjA3NTZU0lEKTi0uzszPAymwrAUAagFvqiwAAAA="/>
  </w:docVars>
  <w:rsids>
    <w:rsidRoot w:val="008857FA"/>
    <w:rsid w:val="00000C22"/>
    <w:rsid w:val="00000F0A"/>
    <w:rsid w:val="000011FF"/>
    <w:rsid w:val="00002C7F"/>
    <w:rsid w:val="000036AE"/>
    <w:rsid w:val="00005D94"/>
    <w:rsid w:val="00006F41"/>
    <w:rsid w:val="000075B4"/>
    <w:rsid w:val="00007E4A"/>
    <w:rsid w:val="00010125"/>
    <w:rsid w:val="00010E7B"/>
    <w:rsid w:val="00011218"/>
    <w:rsid w:val="0001202C"/>
    <w:rsid w:val="00012406"/>
    <w:rsid w:val="00012BED"/>
    <w:rsid w:val="00013451"/>
    <w:rsid w:val="00013692"/>
    <w:rsid w:val="00015350"/>
    <w:rsid w:val="00015AF6"/>
    <w:rsid w:val="00015DFE"/>
    <w:rsid w:val="0001744E"/>
    <w:rsid w:val="00022989"/>
    <w:rsid w:val="00023D1B"/>
    <w:rsid w:val="00025975"/>
    <w:rsid w:val="00026D6F"/>
    <w:rsid w:val="0002725A"/>
    <w:rsid w:val="00031698"/>
    <w:rsid w:val="0003190D"/>
    <w:rsid w:val="00031A37"/>
    <w:rsid w:val="00031E7A"/>
    <w:rsid w:val="000332A1"/>
    <w:rsid w:val="00033FB9"/>
    <w:rsid w:val="00034247"/>
    <w:rsid w:val="00034D85"/>
    <w:rsid w:val="00035527"/>
    <w:rsid w:val="00036E13"/>
    <w:rsid w:val="00037DC7"/>
    <w:rsid w:val="00037F5E"/>
    <w:rsid w:val="0004003B"/>
    <w:rsid w:val="000401DA"/>
    <w:rsid w:val="00040967"/>
    <w:rsid w:val="0004268F"/>
    <w:rsid w:val="00042B19"/>
    <w:rsid w:val="00042D76"/>
    <w:rsid w:val="00043024"/>
    <w:rsid w:val="0004602C"/>
    <w:rsid w:val="000461C0"/>
    <w:rsid w:val="00046588"/>
    <w:rsid w:val="000479DA"/>
    <w:rsid w:val="00051435"/>
    <w:rsid w:val="0005295B"/>
    <w:rsid w:val="00052DEA"/>
    <w:rsid w:val="00053F32"/>
    <w:rsid w:val="0005427D"/>
    <w:rsid w:val="00054476"/>
    <w:rsid w:val="000577FE"/>
    <w:rsid w:val="00057905"/>
    <w:rsid w:val="00061300"/>
    <w:rsid w:val="00061607"/>
    <w:rsid w:val="000620BE"/>
    <w:rsid w:val="00062B16"/>
    <w:rsid w:val="000658F2"/>
    <w:rsid w:val="000665A8"/>
    <w:rsid w:val="000669BA"/>
    <w:rsid w:val="0006758B"/>
    <w:rsid w:val="00067B1A"/>
    <w:rsid w:val="0007118A"/>
    <w:rsid w:val="00071682"/>
    <w:rsid w:val="00071892"/>
    <w:rsid w:val="00071B66"/>
    <w:rsid w:val="00072524"/>
    <w:rsid w:val="00072724"/>
    <w:rsid w:val="00073251"/>
    <w:rsid w:val="00073445"/>
    <w:rsid w:val="000747E2"/>
    <w:rsid w:val="000758DF"/>
    <w:rsid w:val="000764B5"/>
    <w:rsid w:val="00076768"/>
    <w:rsid w:val="00076EA9"/>
    <w:rsid w:val="0008131C"/>
    <w:rsid w:val="000818C7"/>
    <w:rsid w:val="00082558"/>
    <w:rsid w:val="00083134"/>
    <w:rsid w:val="000843AD"/>
    <w:rsid w:val="00084832"/>
    <w:rsid w:val="00085B7D"/>
    <w:rsid w:val="0008737F"/>
    <w:rsid w:val="00087D96"/>
    <w:rsid w:val="00090F46"/>
    <w:rsid w:val="000910F0"/>
    <w:rsid w:val="00092C92"/>
    <w:rsid w:val="00092CA4"/>
    <w:rsid w:val="000970DA"/>
    <w:rsid w:val="000A0179"/>
    <w:rsid w:val="000A0626"/>
    <w:rsid w:val="000A0823"/>
    <w:rsid w:val="000A1B05"/>
    <w:rsid w:val="000A3D01"/>
    <w:rsid w:val="000A4CFF"/>
    <w:rsid w:val="000A5CCE"/>
    <w:rsid w:val="000A74D8"/>
    <w:rsid w:val="000A7961"/>
    <w:rsid w:val="000A7B65"/>
    <w:rsid w:val="000B061F"/>
    <w:rsid w:val="000B070D"/>
    <w:rsid w:val="000B1977"/>
    <w:rsid w:val="000B5BC5"/>
    <w:rsid w:val="000B7B13"/>
    <w:rsid w:val="000C0818"/>
    <w:rsid w:val="000C2C22"/>
    <w:rsid w:val="000C3FC3"/>
    <w:rsid w:val="000C40D3"/>
    <w:rsid w:val="000C593E"/>
    <w:rsid w:val="000C5A0A"/>
    <w:rsid w:val="000C5B9B"/>
    <w:rsid w:val="000C6169"/>
    <w:rsid w:val="000C79B4"/>
    <w:rsid w:val="000D00C4"/>
    <w:rsid w:val="000D028A"/>
    <w:rsid w:val="000D05F2"/>
    <w:rsid w:val="000D281F"/>
    <w:rsid w:val="000D2935"/>
    <w:rsid w:val="000D2DE2"/>
    <w:rsid w:val="000D3DBA"/>
    <w:rsid w:val="000D4A96"/>
    <w:rsid w:val="000D5469"/>
    <w:rsid w:val="000D7EBD"/>
    <w:rsid w:val="000E42A4"/>
    <w:rsid w:val="000E4359"/>
    <w:rsid w:val="000E6688"/>
    <w:rsid w:val="000E698B"/>
    <w:rsid w:val="000E6B61"/>
    <w:rsid w:val="000E7E60"/>
    <w:rsid w:val="000F0558"/>
    <w:rsid w:val="000F2605"/>
    <w:rsid w:val="000F2A90"/>
    <w:rsid w:val="000F2A96"/>
    <w:rsid w:val="000F2C27"/>
    <w:rsid w:val="000F2D6A"/>
    <w:rsid w:val="000F373B"/>
    <w:rsid w:val="000F383D"/>
    <w:rsid w:val="000F5285"/>
    <w:rsid w:val="000F5570"/>
    <w:rsid w:val="000F5AB0"/>
    <w:rsid w:val="0010008F"/>
    <w:rsid w:val="00100298"/>
    <w:rsid w:val="00100C94"/>
    <w:rsid w:val="00103CF3"/>
    <w:rsid w:val="0010441B"/>
    <w:rsid w:val="0010475E"/>
    <w:rsid w:val="00104863"/>
    <w:rsid w:val="00104948"/>
    <w:rsid w:val="00104960"/>
    <w:rsid w:val="00104B69"/>
    <w:rsid w:val="0010515D"/>
    <w:rsid w:val="00105B3E"/>
    <w:rsid w:val="00106F04"/>
    <w:rsid w:val="00111F68"/>
    <w:rsid w:val="00114B34"/>
    <w:rsid w:val="00116815"/>
    <w:rsid w:val="00116DDF"/>
    <w:rsid w:val="00120E82"/>
    <w:rsid w:val="001229CE"/>
    <w:rsid w:val="00123814"/>
    <w:rsid w:val="001238EF"/>
    <w:rsid w:val="00123B9C"/>
    <w:rsid w:val="0012458C"/>
    <w:rsid w:val="00124E76"/>
    <w:rsid w:val="00125814"/>
    <w:rsid w:val="001268A7"/>
    <w:rsid w:val="00127A47"/>
    <w:rsid w:val="00127B4F"/>
    <w:rsid w:val="00127E43"/>
    <w:rsid w:val="00130C3C"/>
    <w:rsid w:val="00132BDC"/>
    <w:rsid w:val="00133730"/>
    <w:rsid w:val="0013542B"/>
    <w:rsid w:val="00137000"/>
    <w:rsid w:val="00137177"/>
    <w:rsid w:val="00137A71"/>
    <w:rsid w:val="001415DF"/>
    <w:rsid w:val="001426F7"/>
    <w:rsid w:val="001436C3"/>
    <w:rsid w:val="001441C3"/>
    <w:rsid w:val="001441E2"/>
    <w:rsid w:val="001466DD"/>
    <w:rsid w:val="00146C9A"/>
    <w:rsid w:val="00147005"/>
    <w:rsid w:val="00147893"/>
    <w:rsid w:val="00150150"/>
    <w:rsid w:val="00151AE5"/>
    <w:rsid w:val="00151F0F"/>
    <w:rsid w:val="00153A3A"/>
    <w:rsid w:val="0015562D"/>
    <w:rsid w:val="001559AE"/>
    <w:rsid w:val="00155E97"/>
    <w:rsid w:val="001576E9"/>
    <w:rsid w:val="00160795"/>
    <w:rsid w:val="00160C4D"/>
    <w:rsid w:val="001616EA"/>
    <w:rsid w:val="00161CD2"/>
    <w:rsid w:val="00162C50"/>
    <w:rsid w:val="00162C74"/>
    <w:rsid w:val="001638EC"/>
    <w:rsid w:val="00163C71"/>
    <w:rsid w:val="00163CFC"/>
    <w:rsid w:val="001655B9"/>
    <w:rsid w:val="00167873"/>
    <w:rsid w:val="00170B27"/>
    <w:rsid w:val="00170EB2"/>
    <w:rsid w:val="00171E31"/>
    <w:rsid w:val="0017482A"/>
    <w:rsid w:val="00174862"/>
    <w:rsid w:val="00174DA5"/>
    <w:rsid w:val="00175B6F"/>
    <w:rsid w:val="00175CBB"/>
    <w:rsid w:val="001766A5"/>
    <w:rsid w:val="001771B5"/>
    <w:rsid w:val="001774CB"/>
    <w:rsid w:val="00177D52"/>
    <w:rsid w:val="0018077D"/>
    <w:rsid w:val="0018101B"/>
    <w:rsid w:val="00182505"/>
    <w:rsid w:val="00184046"/>
    <w:rsid w:val="00184385"/>
    <w:rsid w:val="00184744"/>
    <w:rsid w:val="00185489"/>
    <w:rsid w:val="00187203"/>
    <w:rsid w:val="001909D5"/>
    <w:rsid w:val="00193723"/>
    <w:rsid w:val="00194C46"/>
    <w:rsid w:val="00196479"/>
    <w:rsid w:val="00197A63"/>
    <w:rsid w:val="00197AA8"/>
    <w:rsid w:val="001A23D3"/>
    <w:rsid w:val="001A4D84"/>
    <w:rsid w:val="001A5F77"/>
    <w:rsid w:val="001A7FA2"/>
    <w:rsid w:val="001B0360"/>
    <w:rsid w:val="001B20BF"/>
    <w:rsid w:val="001B3D42"/>
    <w:rsid w:val="001B477D"/>
    <w:rsid w:val="001B4DF5"/>
    <w:rsid w:val="001B5BAF"/>
    <w:rsid w:val="001B71F9"/>
    <w:rsid w:val="001C0016"/>
    <w:rsid w:val="001C0C4A"/>
    <w:rsid w:val="001C5FEA"/>
    <w:rsid w:val="001C6AF9"/>
    <w:rsid w:val="001C6B49"/>
    <w:rsid w:val="001C7C4A"/>
    <w:rsid w:val="001D04A7"/>
    <w:rsid w:val="001D133C"/>
    <w:rsid w:val="001D214E"/>
    <w:rsid w:val="001D3D72"/>
    <w:rsid w:val="001D41A8"/>
    <w:rsid w:val="001D5150"/>
    <w:rsid w:val="001D62FF"/>
    <w:rsid w:val="001D63A7"/>
    <w:rsid w:val="001D6C5E"/>
    <w:rsid w:val="001D7E9D"/>
    <w:rsid w:val="001E0640"/>
    <w:rsid w:val="001E1584"/>
    <w:rsid w:val="001E15E3"/>
    <w:rsid w:val="001E1894"/>
    <w:rsid w:val="001E33BB"/>
    <w:rsid w:val="001E605C"/>
    <w:rsid w:val="001E65AB"/>
    <w:rsid w:val="001E6983"/>
    <w:rsid w:val="001E750F"/>
    <w:rsid w:val="001E7C52"/>
    <w:rsid w:val="001F0346"/>
    <w:rsid w:val="001F079A"/>
    <w:rsid w:val="001F0B8B"/>
    <w:rsid w:val="001F12BA"/>
    <w:rsid w:val="001F160C"/>
    <w:rsid w:val="001F1D7C"/>
    <w:rsid w:val="001F21A1"/>
    <w:rsid w:val="001F2B3D"/>
    <w:rsid w:val="001F2B5B"/>
    <w:rsid w:val="001F3C53"/>
    <w:rsid w:val="001F48BE"/>
    <w:rsid w:val="001F4BD3"/>
    <w:rsid w:val="001F4F62"/>
    <w:rsid w:val="001F52BF"/>
    <w:rsid w:val="001F6026"/>
    <w:rsid w:val="001F7384"/>
    <w:rsid w:val="001F7D2A"/>
    <w:rsid w:val="002007C7"/>
    <w:rsid w:val="002016C1"/>
    <w:rsid w:val="00201AD2"/>
    <w:rsid w:val="00201B51"/>
    <w:rsid w:val="00202974"/>
    <w:rsid w:val="002039F6"/>
    <w:rsid w:val="00204767"/>
    <w:rsid w:val="00204F72"/>
    <w:rsid w:val="002062F9"/>
    <w:rsid w:val="0020645C"/>
    <w:rsid w:val="002068C4"/>
    <w:rsid w:val="00210A9C"/>
    <w:rsid w:val="002119F1"/>
    <w:rsid w:val="00212623"/>
    <w:rsid w:val="00212DB1"/>
    <w:rsid w:val="002136AB"/>
    <w:rsid w:val="00213ECC"/>
    <w:rsid w:val="00213EF2"/>
    <w:rsid w:val="002147E1"/>
    <w:rsid w:val="00214B21"/>
    <w:rsid w:val="002152E5"/>
    <w:rsid w:val="002176C2"/>
    <w:rsid w:val="00220550"/>
    <w:rsid w:val="002216C4"/>
    <w:rsid w:val="00223439"/>
    <w:rsid w:val="00224619"/>
    <w:rsid w:val="00225B26"/>
    <w:rsid w:val="002310C9"/>
    <w:rsid w:val="00231F5C"/>
    <w:rsid w:val="0023317D"/>
    <w:rsid w:val="002335BE"/>
    <w:rsid w:val="00234065"/>
    <w:rsid w:val="00235ABE"/>
    <w:rsid w:val="00235B23"/>
    <w:rsid w:val="00235B79"/>
    <w:rsid w:val="00236539"/>
    <w:rsid w:val="00236710"/>
    <w:rsid w:val="002371D2"/>
    <w:rsid w:val="00240E66"/>
    <w:rsid w:val="00241030"/>
    <w:rsid w:val="00241D69"/>
    <w:rsid w:val="002456E6"/>
    <w:rsid w:val="00245957"/>
    <w:rsid w:val="00247844"/>
    <w:rsid w:val="0025008A"/>
    <w:rsid w:val="00250584"/>
    <w:rsid w:val="002538AC"/>
    <w:rsid w:val="00255D78"/>
    <w:rsid w:val="002575BB"/>
    <w:rsid w:val="002601EF"/>
    <w:rsid w:val="0026147A"/>
    <w:rsid w:val="00261A86"/>
    <w:rsid w:val="00262F39"/>
    <w:rsid w:val="002631C3"/>
    <w:rsid w:val="00265577"/>
    <w:rsid w:val="00265C92"/>
    <w:rsid w:val="00266E4F"/>
    <w:rsid w:val="002711F3"/>
    <w:rsid w:val="002726DF"/>
    <w:rsid w:val="00272954"/>
    <w:rsid w:val="00274224"/>
    <w:rsid w:val="002752C7"/>
    <w:rsid w:val="002776C8"/>
    <w:rsid w:val="0028183C"/>
    <w:rsid w:val="00282A68"/>
    <w:rsid w:val="00283C6A"/>
    <w:rsid w:val="00284BCF"/>
    <w:rsid w:val="002863C1"/>
    <w:rsid w:val="00291D88"/>
    <w:rsid w:val="00292AFE"/>
    <w:rsid w:val="00294C66"/>
    <w:rsid w:val="00296774"/>
    <w:rsid w:val="00296CAC"/>
    <w:rsid w:val="00297459"/>
    <w:rsid w:val="00297A4C"/>
    <w:rsid w:val="002A15D3"/>
    <w:rsid w:val="002A1F23"/>
    <w:rsid w:val="002A35E2"/>
    <w:rsid w:val="002A45C4"/>
    <w:rsid w:val="002A4A84"/>
    <w:rsid w:val="002A4C11"/>
    <w:rsid w:val="002A6C2C"/>
    <w:rsid w:val="002B10D3"/>
    <w:rsid w:val="002B145E"/>
    <w:rsid w:val="002B1AB0"/>
    <w:rsid w:val="002B3133"/>
    <w:rsid w:val="002B378D"/>
    <w:rsid w:val="002B3B7A"/>
    <w:rsid w:val="002B3F78"/>
    <w:rsid w:val="002B4DD7"/>
    <w:rsid w:val="002B66B2"/>
    <w:rsid w:val="002B7065"/>
    <w:rsid w:val="002B75A2"/>
    <w:rsid w:val="002C004A"/>
    <w:rsid w:val="002C061D"/>
    <w:rsid w:val="002C2ABB"/>
    <w:rsid w:val="002C3E71"/>
    <w:rsid w:val="002C4233"/>
    <w:rsid w:val="002C4908"/>
    <w:rsid w:val="002C60DE"/>
    <w:rsid w:val="002D0867"/>
    <w:rsid w:val="002D0E20"/>
    <w:rsid w:val="002D1932"/>
    <w:rsid w:val="002D1AF5"/>
    <w:rsid w:val="002D2E9E"/>
    <w:rsid w:val="002D312D"/>
    <w:rsid w:val="002D35AE"/>
    <w:rsid w:val="002D5A60"/>
    <w:rsid w:val="002D5B0F"/>
    <w:rsid w:val="002D616B"/>
    <w:rsid w:val="002D770F"/>
    <w:rsid w:val="002E01BC"/>
    <w:rsid w:val="002E12C1"/>
    <w:rsid w:val="002E15AA"/>
    <w:rsid w:val="002E34CF"/>
    <w:rsid w:val="002E54DE"/>
    <w:rsid w:val="002E5522"/>
    <w:rsid w:val="002E6C0F"/>
    <w:rsid w:val="002E7639"/>
    <w:rsid w:val="002F0681"/>
    <w:rsid w:val="002F0AAC"/>
    <w:rsid w:val="002F16AF"/>
    <w:rsid w:val="002F2881"/>
    <w:rsid w:val="002F30ED"/>
    <w:rsid w:val="002F3D64"/>
    <w:rsid w:val="002F3F8B"/>
    <w:rsid w:val="002F4142"/>
    <w:rsid w:val="002F49FF"/>
    <w:rsid w:val="002F4B97"/>
    <w:rsid w:val="002F5A1D"/>
    <w:rsid w:val="002F6E0A"/>
    <w:rsid w:val="00301821"/>
    <w:rsid w:val="00303B6C"/>
    <w:rsid w:val="003053C4"/>
    <w:rsid w:val="003068C8"/>
    <w:rsid w:val="00307420"/>
    <w:rsid w:val="00307647"/>
    <w:rsid w:val="00310FE3"/>
    <w:rsid w:val="00312C86"/>
    <w:rsid w:val="0031467A"/>
    <w:rsid w:val="00315CA8"/>
    <w:rsid w:val="00316B53"/>
    <w:rsid w:val="003172DC"/>
    <w:rsid w:val="00317662"/>
    <w:rsid w:val="0032128F"/>
    <w:rsid w:val="00321D30"/>
    <w:rsid w:val="00323435"/>
    <w:rsid w:val="00324FEC"/>
    <w:rsid w:val="00325A0C"/>
    <w:rsid w:val="0032653F"/>
    <w:rsid w:val="0032794A"/>
    <w:rsid w:val="00331784"/>
    <w:rsid w:val="00332D14"/>
    <w:rsid w:val="00333DE9"/>
    <w:rsid w:val="00335542"/>
    <w:rsid w:val="00336824"/>
    <w:rsid w:val="00341016"/>
    <w:rsid w:val="00341320"/>
    <w:rsid w:val="00343092"/>
    <w:rsid w:val="00345E86"/>
    <w:rsid w:val="00346661"/>
    <w:rsid w:val="003466FD"/>
    <w:rsid w:val="003513E7"/>
    <w:rsid w:val="00351CE7"/>
    <w:rsid w:val="003520F3"/>
    <w:rsid w:val="00352335"/>
    <w:rsid w:val="00352E29"/>
    <w:rsid w:val="00353CD6"/>
    <w:rsid w:val="00353D7A"/>
    <w:rsid w:val="0035405B"/>
    <w:rsid w:val="00355365"/>
    <w:rsid w:val="00363220"/>
    <w:rsid w:val="00363939"/>
    <w:rsid w:val="0036401C"/>
    <w:rsid w:val="00364A8E"/>
    <w:rsid w:val="00364DB0"/>
    <w:rsid w:val="00367A03"/>
    <w:rsid w:val="00372CD4"/>
    <w:rsid w:val="00373145"/>
    <w:rsid w:val="00373BF8"/>
    <w:rsid w:val="00374919"/>
    <w:rsid w:val="00374F9B"/>
    <w:rsid w:val="00375923"/>
    <w:rsid w:val="003771FA"/>
    <w:rsid w:val="003772E9"/>
    <w:rsid w:val="00380767"/>
    <w:rsid w:val="00381A4B"/>
    <w:rsid w:val="00381DB5"/>
    <w:rsid w:val="00382958"/>
    <w:rsid w:val="00382B58"/>
    <w:rsid w:val="003869DE"/>
    <w:rsid w:val="003875CA"/>
    <w:rsid w:val="00387CBE"/>
    <w:rsid w:val="00390165"/>
    <w:rsid w:val="00390FB3"/>
    <w:rsid w:val="00391583"/>
    <w:rsid w:val="003916B0"/>
    <w:rsid w:val="00392C95"/>
    <w:rsid w:val="00392E4D"/>
    <w:rsid w:val="00393107"/>
    <w:rsid w:val="003950FC"/>
    <w:rsid w:val="003A00B8"/>
    <w:rsid w:val="003A0960"/>
    <w:rsid w:val="003A11F7"/>
    <w:rsid w:val="003A140E"/>
    <w:rsid w:val="003A1EAA"/>
    <w:rsid w:val="003A274B"/>
    <w:rsid w:val="003A3DBA"/>
    <w:rsid w:val="003A3F9D"/>
    <w:rsid w:val="003A4DA9"/>
    <w:rsid w:val="003A4E7E"/>
    <w:rsid w:val="003A50C6"/>
    <w:rsid w:val="003A517B"/>
    <w:rsid w:val="003A6A9B"/>
    <w:rsid w:val="003A727E"/>
    <w:rsid w:val="003A7964"/>
    <w:rsid w:val="003B018F"/>
    <w:rsid w:val="003B13FD"/>
    <w:rsid w:val="003B1493"/>
    <w:rsid w:val="003B1F86"/>
    <w:rsid w:val="003B5461"/>
    <w:rsid w:val="003B5F13"/>
    <w:rsid w:val="003B784F"/>
    <w:rsid w:val="003C1827"/>
    <w:rsid w:val="003C2E4A"/>
    <w:rsid w:val="003C3471"/>
    <w:rsid w:val="003C6572"/>
    <w:rsid w:val="003C790A"/>
    <w:rsid w:val="003D08C4"/>
    <w:rsid w:val="003D0A11"/>
    <w:rsid w:val="003D13D2"/>
    <w:rsid w:val="003D22FA"/>
    <w:rsid w:val="003D2E4E"/>
    <w:rsid w:val="003D4B12"/>
    <w:rsid w:val="003D52B5"/>
    <w:rsid w:val="003D5A9A"/>
    <w:rsid w:val="003D770C"/>
    <w:rsid w:val="003E0DED"/>
    <w:rsid w:val="003E22CF"/>
    <w:rsid w:val="003E279B"/>
    <w:rsid w:val="003E4D06"/>
    <w:rsid w:val="003E5123"/>
    <w:rsid w:val="003E5143"/>
    <w:rsid w:val="003E5DE4"/>
    <w:rsid w:val="003E6690"/>
    <w:rsid w:val="003E744D"/>
    <w:rsid w:val="003E7B55"/>
    <w:rsid w:val="003F0B94"/>
    <w:rsid w:val="003F2180"/>
    <w:rsid w:val="003F23F4"/>
    <w:rsid w:val="003F2DC0"/>
    <w:rsid w:val="003F31CA"/>
    <w:rsid w:val="003F445F"/>
    <w:rsid w:val="003F5319"/>
    <w:rsid w:val="003F6DAB"/>
    <w:rsid w:val="003F7E1A"/>
    <w:rsid w:val="004005F4"/>
    <w:rsid w:val="00400810"/>
    <w:rsid w:val="00401034"/>
    <w:rsid w:val="004027C4"/>
    <w:rsid w:val="00402C3C"/>
    <w:rsid w:val="00402F96"/>
    <w:rsid w:val="004079A0"/>
    <w:rsid w:val="00407A3C"/>
    <w:rsid w:val="00407D3B"/>
    <w:rsid w:val="00410517"/>
    <w:rsid w:val="004110F4"/>
    <w:rsid w:val="00411546"/>
    <w:rsid w:val="004122FF"/>
    <w:rsid w:val="004154FC"/>
    <w:rsid w:val="0041642F"/>
    <w:rsid w:val="004176A7"/>
    <w:rsid w:val="004204B2"/>
    <w:rsid w:val="00424344"/>
    <w:rsid w:val="0042469B"/>
    <w:rsid w:val="0042502A"/>
    <w:rsid w:val="004256B2"/>
    <w:rsid w:val="00426761"/>
    <w:rsid w:val="00430B5B"/>
    <w:rsid w:val="00431727"/>
    <w:rsid w:val="0043174C"/>
    <w:rsid w:val="00431AF2"/>
    <w:rsid w:val="004323A0"/>
    <w:rsid w:val="00432B2A"/>
    <w:rsid w:val="00432E5D"/>
    <w:rsid w:val="004359F8"/>
    <w:rsid w:val="00437DB4"/>
    <w:rsid w:val="00440FE3"/>
    <w:rsid w:val="00444AEA"/>
    <w:rsid w:val="00445AD9"/>
    <w:rsid w:val="00445B39"/>
    <w:rsid w:val="00451473"/>
    <w:rsid w:val="00451B02"/>
    <w:rsid w:val="00453605"/>
    <w:rsid w:val="00453652"/>
    <w:rsid w:val="00453809"/>
    <w:rsid w:val="00454ECA"/>
    <w:rsid w:val="00455686"/>
    <w:rsid w:val="00455A00"/>
    <w:rsid w:val="00456CD4"/>
    <w:rsid w:val="00457581"/>
    <w:rsid w:val="0046100B"/>
    <w:rsid w:val="00461BED"/>
    <w:rsid w:val="00462753"/>
    <w:rsid w:val="00462931"/>
    <w:rsid w:val="00462AFA"/>
    <w:rsid w:val="00464C55"/>
    <w:rsid w:val="00465725"/>
    <w:rsid w:val="004673FD"/>
    <w:rsid w:val="00467CDF"/>
    <w:rsid w:val="00467D01"/>
    <w:rsid w:val="00470205"/>
    <w:rsid w:val="00470799"/>
    <w:rsid w:val="00471C74"/>
    <w:rsid w:val="00471F4F"/>
    <w:rsid w:val="0047239F"/>
    <w:rsid w:val="00473E02"/>
    <w:rsid w:val="0047581C"/>
    <w:rsid w:val="00475992"/>
    <w:rsid w:val="0047641A"/>
    <w:rsid w:val="004778A0"/>
    <w:rsid w:val="00482427"/>
    <w:rsid w:val="00483796"/>
    <w:rsid w:val="0048389A"/>
    <w:rsid w:val="004838EE"/>
    <w:rsid w:val="00484BEC"/>
    <w:rsid w:val="00484D45"/>
    <w:rsid w:val="00487998"/>
    <w:rsid w:val="004901A8"/>
    <w:rsid w:val="00490E20"/>
    <w:rsid w:val="00492D59"/>
    <w:rsid w:val="00495E96"/>
    <w:rsid w:val="00495F5C"/>
    <w:rsid w:val="0049689C"/>
    <w:rsid w:val="004A02FC"/>
    <w:rsid w:val="004A0F60"/>
    <w:rsid w:val="004A1628"/>
    <w:rsid w:val="004A2A54"/>
    <w:rsid w:val="004A3A31"/>
    <w:rsid w:val="004A4EB8"/>
    <w:rsid w:val="004A5143"/>
    <w:rsid w:val="004B0077"/>
    <w:rsid w:val="004B0AF6"/>
    <w:rsid w:val="004B1FCF"/>
    <w:rsid w:val="004B20DE"/>
    <w:rsid w:val="004B218C"/>
    <w:rsid w:val="004B22C7"/>
    <w:rsid w:val="004B2794"/>
    <w:rsid w:val="004B27E8"/>
    <w:rsid w:val="004B2D14"/>
    <w:rsid w:val="004B31D6"/>
    <w:rsid w:val="004C1E01"/>
    <w:rsid w:val="004C283C"/>
    <w:rsid w:val="004C37DC"/>
    <w:rsid w:val="004C4E05"/>
    <w:rsid w:val="004C5CAF"/>
    <w:rsid w:val="004C6134"/>
    <w:rsid w:val="004C62CE"/>
    <w:rsid w:val="004C6EA5"/>
    <w:rsid w:val="004D01DA"/>
    <w:rsid w:val="004D2DE9"/>
    <w:rsid w:val="004D36BC"/>
    <w:rsid w:val="004D78F9"/>
    <w:rsid w:val="004D7950"/>
    <w:rsid w:val="004D7A67"/>
    <w:rsid w:val="004E2305"/>
    <w:rsid w:val="004E2FFA"/>
    <w:rsid w:val="004E3914"/>
    <w:rsid w:val="004E5826"/>
    <w:rsid w:val="004E5A8C"/>
    <w:rsid w:val="004E5B84"/>
    <w:rsid w:val="004E67AD"/>
    <w:rsid w:val="004E716F"/>
    <w:rsid w:val="004F1550"/>
    <w:rsid w:val="004F1A1C"/>
    <w:rsid w:val="004F1AD0"/>
    <w:rsid w:val="004F2436"/>
    <w:rsid w:val="004F3510"/>
    <w:rsid w:val="004F4543"/>
    <w:rsid w:val="004F5B2B"/>
    <w:rsid w:val="004F6017"/>
    <w:rsid w:val="004F746F"/>
    <w:rsid w:val="00500555"/>
    <w:rsid w:val="00500577"/>
    <w:rsid w:val="00500D97"/>
    <w:rsid w:val="0050159E"/>
    <w:rsid w:val="00502867"/>
    <w:rsid w:val="00503EF6"/>
    <w:rsid w:val="0050659E"/>
    <w:rsid w:val="00510255"/>
    <w:rsid w:val="005107D9"/>
    <w:rsid w:val="00514441"/>
    <w:rsid w:val="0051470F"/>
    <w:rsid w:val="00514D34"/>
    <w:rsid w:val="00514E1E"/>
    <w:rsid w:val="005152CC"/>
    <w:rsid w:val="00515633"/>
    <w:rsid w:val="00515778"/>
    <w:rsid w:val="00515F52"/>
    <w:rsid w:val="0051605E"/>
    <w:rsid w:val="00516350"/>
    <w:rsid w:val="005209A6"/>
    <w:rsid w:val="005221BC"/>
    <w:rsid w:val="00523597"/>
    <w:rsid w:val="00523EFA"/>
    <w:rsid w:val="005243EE"/>
    <w:rsid w:val="00524E24"/>
    <w:rsid w:val="00524F33"/>
    <w:rsid w:val="00524F91"/>
    <w:rsid w:val="00525AA4"/>
    <w:rsid w:val="00526C1A"/>
    <w:rsid w:val="00527CB2"/>
    <w:rsid w:val="00531471"/>
    <w:rsid w:val="00533EE4"/>
    <w:rsid w:val="005350A7"/>
    <w:rsid w:val="00535691"/>
    <w:rsid w:val="00535C9C"/>
    <w:rsid w:val="005363B2"/>
    <w:rsid w:val="005365E4"/>
    <w:rsid w:val="00536794"/>
    <w:rsid w:val="005409FE"/>
    <w:rsid w:val="005435FF"/>
    <w:rsid w:val="0054374C"/>
    <w:rsid w:val="00543D72"/>
    <w:rsid w:val="00544EB2"/>
    <w:rsid w:val="00545203"/>
    <w:rsid w:val="005469B6"/>
    <w:rsid w:val="0055015A"/>
    <w:rsid w:val="0055212E"/>
    <w:rsid w:val="005525AC"/>
    <w:rsid w:val="00552918"/>
    <w:rsid w:val="00552F2B"/>
    <w:rsid w:val="005535A7"/>
    <w:rsid w:val="00554A4B"/>
    <w:rsid w:val="00555425"/>
    <w:rsid w:val="005567FA"/>
    <w:rsid w:val="00557802"/>
    <w:rsid w:val="0056015D"/>
    <w:rsid w:val="00561764"/>
    <w:rsid w:val="005618CA"/>
    <w:rsid w:val="005618F1"/>
    <w:rsid w:val="00562D12"/>
    <w:rsid w:val="00563FC9"/>
    <w:rsid w:val="00564780"/>
    <w:rsid w:val="0056605E"/>
    <w:rsid w:val="005663D8"/>
    <w:rsid w:val="005707F5"/>
    <w:rsid w:val="00571700"/>
    <w:rsid w:val="005736E5"/>
    <w:rsid w:val="00576749"/>
    <w:rsid w:val="00577066"/>
    <w:rsid w:val="00577FF4"/>
    <w:rsid w:val="00582078"/>
    <w:rsid w:val="00584456"/>
    <w:rsid w:val="00590F9C"/>
    <w:rsid w:val="0059442F"/>
    <w:rsid w:val="00594761"/>
    <w:rsid w:val="00594A77"/>
    <w:rsid w:val="00595278"/>
    <w:rsid w:val="005968DD"/>
    <w:rsid w:val="00596B1F"/>
    <w:rsid w:val="00597582"/>
    <w:rsid w:val="00597FA9"/>
    <w:rsid w:val="005A0745"/>
    <w:rsid w:val="005A2696"/>
    <w:rsid w:val="005A306C"/>
    <w:rsid w:val="005A3107"/>
    <w:rsid w:val="005A3906"/>
    <w:rsid w:val="005A3AFA"/>
    <w:rsid w:val="005A4155"/>
    <w:rsid w:val="005A4237"/>
    <w:rsid w:val="005A4B2F"/>
    <w:rsid w:val="005A4F7F"/>
    <w:rsid w:val="005A554E"/>
    <w:rsid w:val="005A5CBC"/>
    <w:rsid w:val="005A5CC6"/>
    <w:rsid w:val="005A772C"/>
    <w:rsid w:val="005B0583"/>
    <w:rsid w:val="005B1101"/>
    <w:rsid w:val="005B272C"/>
    <w:rsid w:val="005B3095"/>
    <w:rsid w:val="005B3C9F"/>
    <w:rsid w:val="005B46F2"/>
    <w:rsid w:val="005B51FD"/>
    <w:rsid w:val="005B7526"/>
    <w:rsid w:val="005C02A3"/>
    <w:rsid w:val="005C0F82"/>
    <w:rsid w:val="005C17A1"/>
    <w:rsid w:val="005C2A73"/>
    <w:rsid w:val="005C2B84"/>
    <w:rsid w:val="005C424E"/>
    <w:rsid w:val="005C42DB"/>
    <w:rsid w:val="005C59EC"/>
    <w:rsid w:val="005C5C23"/>
    <w:rsid w:val="005C5F4F"/>
    <w:rsid w:val="005C734A"/>
    <w:rsid w:val="005D082C"/>
    <w:rsid w:val="005D08D1"/>
    <w:rsid w:val="005D0E27"/>
    <w:rsid w:val="005D0E54"/>
    <w:rsid w:val="005D3530"/>
    <w:rsid w:val="005D37B5"/>
    <w:rsid w:val="005D3818"/>
    <w:rsid w:val="005D3DBE"/>
    <w:rsid w:val="005D4392"/>
    <w:rsid w:val="005D5BB5"/>
    <w:rsid w:val="005D6176"/>
    <w:rsid w:val="005D6B17"/>
    <w:rsid w:val="005D7238"/>
    <w:rsid w:val="005E0132"/>
    <w:rsid w:val="005E187F"/>
    <w:rsid w:val="005E2C17"/>
    <w:rsid w:val="005E3212"/>
    <w:rsid w:val="005E3494"/>
    <w:rsid w:val="005E3976"/>
    <w:rsid w:val="005E3A7C"/>
    <w:rsid w:val="005E4AAD"/>
    <w:rsid w:val="005E5C0F"/>
    <w:rsid w:val="005E631E"/>
    <w:rsid w:val="005E6693"/>
    <w:rsid w:val="005E77B7"/>
    <w:rsid w:val="005F0575"/>
    <w:rsid w:val="005F0FF3"/>
    <w:rsid w:val="005F3130"/>
    <w:rsid w:val="005F34FB"/>
    <w:rsid w:val="005F3C11"/>
    <w:rsid w:val="005F4794"/>
    <w:rsid w:val="005F5F76"/>
    <w:rsid w:val="005F6C29"/>
    <w:rsid w:val="005F732A"/>
    <w:rsid w:val="00601774"/>
    <w:rsid w:val="006017F7"/>
    <w:rsid w:val="00601906"/>
    <w:rsid w:val="00601965"/>
    <w:rsid w:val="00601AC0"/>
    <w:rsid w:val="006027EA"/>
    <w:rsid w:val="0060474A"/>
    <w:rsid w:val="006047CA"/>
    <w:rsid w:val="00607A3B"/>
    <w:rsid w:val="00610794"/>
    <w:rsid w:val="00611047"/>
    <w:rsid w:val="00612B55"/>
    <w:rsid w:val="0061410A"/>
    <w:rsid w:val="00614FEB"/>
    <w:rsid w:val="006152CF"/>
    <w:rsid w:val="006163C8"/>
    <w:rsid w:val="006163E8"/>
    <w:rsid w:val="00616E94"/>
    <w:rsid w:val="00617C31"/>
    <w:rsid w:val="00617F01"/>
    <w:rsid w:val="00620451"/>
    <w:rsid w:val="00623142"/>
    <w:rsid w:val="006231D9"/>
    <w:rsid w:val="006237A5"/>
    <w:rsid w:val="006237B3"/>
    <w:rsid w:val="00624B02"/>
    <w:rsid w:val="006252CC"/>
    <w:rsid w:val="00630D3E"/>
    <w:rsid w:val="006338B5"/>
    <w:rsid w:val="00634C5D"/>
    <w:rsid w:val="00634DD0"/>
    <w:rsid w:val="006364B9"/>
    <w:rsid w:val="00637FBD"/>
    <w:rsid w:val="00640980"/>
    <w:rsid w:val="00640BBB"/>
    <w:rsid w:val="00641042"/>
    <w:rsid w:val="006413C5"/>
    <w:rsid w:val="00641DDF"/>
    <w:rsid w:val="0064251F"/>
    <w:rsid w:val="00643288"/>
    <w:rsid w:val="006443D0"/>
    <w:rsid w:val="00644CC6"/>
    <w:rsid w:val="006456D6"/>
    <w:rsid w:val="006512DB"/>
    <w:rsid w:val="00653AA4"/>
    <w:rsid w:val="00653FDD"/>
    <w:rsid w:val="00654400"/>
    <w:rsid w:val="006562C8"/>
    <w:rsid w:val="006569D7"/>
    <w:rsid w:val="006571AE"/>
    <w:rsid w:val="0065769B"/>
    <w:rsid w:val="00657ADD"/>
    <w:rsid w:val="006604E8"/>
    <w:rsid w:val="00660A7C"/>
    <w:rsid w:val="0066106F"/>
    <w:rsid w:val="006610D7"/>
    <w:rsid w:val="00661374"/>
    <w:rsid w:val="00663C4C"/>
    <w:rsid w:val="00665F8B"/>
    <w:rsid w:val="00667FBB"/>
    <w:rsid w:val="0067185B"/>
    <w:rsid w:val="00672341"/>
    <w:rsid w:val="00674473"/>
    <w:rsid w:val="00674B04"/>
    <w:rsid w:val="006752DD"/>
    <w:rsid w:val="00676134"/>
    <w:rsid w:val="006761E8"/>
    <w:rsid w:val="006764DD"/>
    <w:rsid w:val="00677265"/>
    <w:rsid w:val="006801DB"/>
    <w:rsid w:val="00680AE8"/>
    <w:rsid w:val="0068199F"/>
    <w:rsid w:val="006830F9"/>
    <w:rsid w:val="00683DFD"/>
    <w:rsid w:val="006840BD"/>
    <w:rsid w:val="00685E74"/>
    <w:rsid w:val="0069179E"/>
    <w:rsid w:val="0069209D"/>
    <w:rsid w:val="0069361C"/>
    <w:rsid w:val="00694251"/>
    <w:rsid w:val="0069495E"/>
    <w:rsid w:val="00695741"/>
    <w:rsid w:val="00696202"/>
    <w:rsid w:val="0069671F"/>
    <w:rsid w:val="00696A02"/>
    <w:rsid w:val="0069732C"/>
    <w:rsid w:val="006A04A0"/>
    <w:rsid w:val="006A1089"/>
    <w:rsid w:val="006A2740"/>
    <w:rsid w:val="006A2E45"/>
    <w:rsid w:val="006A4167"/>
    <w:rsid w:val="006A41FF"/>
    <w:rsid w:val="006A47D3"/>
    <w:rsid w:val="006A4B73"/>
    <w:rsid w:val="006A6827"/>
    <w:rsid w:val="006A7499"/>
    <w:rsid w:val="006B0716"/>
    <w:rsid w:val="006B0E05"/>
    <w:rsid w:val="006B1609"/>
    <w:rsid w:val="006B1B23"/>
    <w:rsid w:val="006B1F21"/>
    <w:rsid w:val="006B4064"/>
    <w:rsid w:val="006B42B1"/>
    <w:rsid w:val="006B62C8"/>
    <w:rsid w:val="006B66E4"/>
    <w:rsid w:val="006C16E0"/>
    <w:rsid w:val="006C1FB4"/>
    <w:rsid w:val="006C25EF"/>
    <w:rsid w:val="006C519C"/>
    <w:rsid w:val="006C5382"/>
    <w:rsid w:val="006C5479"/>
    <w:rsid w:val="006C5BE9"/>
    <w:rsid w:val="006C5C59"/>
    <w:rsid w:val="006D430D"/>
    <w:rsid w:val="006D4753"/>
    <w:rsid w:val="006D4A89"/>
    <w:rsid w:val="006D4BE2"/>
    <w:rsid w:val="006D552A"/>
    <w:rsid w:val="006D612D"/>
    <w:rsid w:val="006D621B"/>
    <w:rsid w:val="006D670E"/>
    <w:rsid w:val="006D6896"/>
    <w:rsid w:val="006D74C2"/>
    <w:rsid w:val="006E0232"/>
    <w:rsid w:val="006E0B84"/>
    <w:rsid w:val="006E1080"/>
    <w:rsid w:val="006E465B"/>
    <w:rsid w:val="006E60C8"/>
    <w:rsid w:val="006E680B"/>
    <w:rsid w:val="006E6B03"/>
    <w:rsid w:val="006E7C67"/>
    <w:rsid w:val="006F06B2"/>
    <w:rsid w:val="006F0C9E"/>
    <w:rsid w:val="006F148F"/>
    <w:rsid w:val="006F1653"/>
    <w:rsid w:val="006F1B04"/>
    <w:rsid w:val="006F1E41"/>
    <w:rsid w:val="006F2877"/>
    <w:rsid w:val="006F2D4C"/>
    <w:rsid w:val="006F47C7"/>
    <w:rsid w:val="006F4D1F"/>
    <w:rsid w:val="006F5A9E"/>
    <w:rsid w:val="006F738C"/>
    <w:rsid w:val="006F7877"/>
    <w:rsid w:val="00700427"/>
    <w:rsid w:val="00701483"/>
    <w:rsid w:val="00701740"/>
    <w:rsid w:val="00702C0E"/>
    <w:rsid w:val="00703873"/>
    <w:rsid w:val="00703F8E"/>
    <w:rsid w:val="0070430C"/>
    <w:rsid w:val="0070482B"/>
    <w:rsid w:val="0070648C"/>
    <w:rsid w:val="00706C75"/>
    <w:rsid w:val="00706F39"/>
    <w:rsid w:val="00707A5D"/>
    <w:rsid w:val="007103F7"/>
    <w:rsid w:val="00711005"/>
    <w:rsid w:val="00716AA4"/>
    <w:rsid w:val="00716C93"/>
    <w:rsid w:val="0071738A"/>
    <w:rsid w:val="0071781C"/>
    <w:rsid w:val="0072115E"/>
    <w:rsid w:val="00722D66"/>
    <w:rsid w:val="00724889"/>
    <w:rsid w:val="00724F0B"/>
    <w:rsid w:val="00725330"/>
    <w:rsid w:val="0072618F"/>
    <w:rsid w:val="0072623D"/>
    <w:rsid w:val="00727BFD"/>
    <w:rsid w:val="00730066"/>
    <w:rsid w:val="007300AA"/>
    <w:rsid w:val="00730A0B"/>
    <w:rsid w:val="0073207E"/>
    <w:rsid w:val="007320E9"/>
    <w:rsid w:val="007321F3"/>
    <w:rsid w:val="00732E3C"/>
    <w:rsid w:val="00733C97"/>
    <w:rsid w:val="0073401A"/>
    <w:rsid w:val="0073554F"/>
    <w:rsid w:val="007362A9"/>
    <w:rsid w:val="00736480"/>
    <w:rsid w:val="007376F0"/>
    <w:rsid w:val="00737D14"/>
    <w:rsid w:val="0074078A"/>
    <w:rsid w:val="007421B9"/>
    <w:rsid w:val="00742581"/>
    <w:rsid w:val="00742FC8"/>
    <w:rsid w:val="00744DB3"/>
    <w:rsid w:val="007459C9"/>
    <w:rsid w:val="00746D99"/>
    <w:rsid w:val="00750577"/>
    <w:rsid w:val="00750595"/>
    <w:rsid w:val="00750FC2"/>
    <w:rsid w:val="00752C13"/>
    <w:rsid w:val="00753BFF"/>
    <w:rsid w:val="00753FCC"/>
    <w:rsid w:val="0075401D"/>
    <w:rsid w:val="00755037"/>
    <w:rsid w:val="00755255"/>
    <w:rsid w:val="007567CB"/>
    <w:rsid w:val="0075694A"/>
    <w:rsid w:val="00757E45"/>
    <w:rsid w:val="0076049D"/>
    <w:rsid w:val="007606D5"/>
    <w:rsid w:val="007612D2"/>
    <w:rsid w:val="00761DEA"/>
    <w:rsid w:val="00762532"/>
    <w:rsid w:val="00763857"/>
    <w:rsid w:val="007641FF"/>
    <w:rsid w:val="007644FF"/>
    <w:rsid w:val="00764B04"/>
    <w:rsid w:val="00764D3F"/>
    <w:rsid w:val="00765778"/>
    <w:rsid w:val="00767440"/>
    <w:rsid w:val="007676DC"/>
    <w:rsid w:val="0077027B"/>
    <w:rsid w:val="00770AB8"/>
    <w:rsid w:val="00771690"/>
    <w:rsid w:val="00773732"/>
    <w:rsid w:val="00773B4C"/>
    <w:rsid w:val="00774D11"/>
    <w:rsid w:val="00777AD0"/>
    <w:rsid w:val="00780914"/>
    <w:rsid w:val="0078131F"/>
    <w:rsid w:val="00781570"/>
    <w:rsid w:val="00781824"/>
    <w:rsid w:val="007818BD"/>
    <w:rsid w:val="0078246A"/>
    <w:rsid w:val="007876A8"/>
    <w:rsid w:val="007900E6"/>
    <w:rsid w:val="007900F2"/>
    <w:rsid w:val="0079276D"/>
    <w:rsid w:val="00793C16"/>
    <w:rsid w:val="00794962"/>
    <w:rsid w:val="00794EA7"/>
    <w:rsid w:val="00796090"/>
    <w:rsid w:val="007A054C"/>
    <w:rsid w:val="007A13A9"/>
    <w:rsid w:val="007A2178"/>
    <w:rsid w:val="007A3936"/>
    <w:rsid w:val="007A5DC7"/>
    <w:rsid w:val="007A5E0A"/>
    <w:rsid w:val="007A71DC"/>
    <w:rsid w:val="007B0517"/>
    <w:rsid w:val="007B0556"/>
    <w:rsid w:val="007B1150"/>
    <w:rsid w:val="007B2C4D"/>
    <w:rsid w:val="007B37E5"/>
    <w:rsid w:val="007B3D74"/>
    <w:rsid w:val="007B4201"/>
    <w:rsid w:val="007B5B8D"/>
    <w:rsid w:val="007B5E5D"/>
    <w:rsid w:val="007C0300"/>
    <w:rsid w:val="007C5DB9"/>
    <w:rsid w:val="007C780B"/>
    <w:rsid w:val="007C79FD"/>
    <w:rsid w:val="007D0D33"/>
    <w:rsid w:val="007D1932"/>
    <w:rsid w:val="007D3480"/>
    <w:rsid w:val="007D5179"/>
    <w:rsid w:val="007D5B93"/>
    <w:rsid w:val="007E10DB"/>
    <w:rsid w:val="007E19C2"/>
    <w:rsid w:val="007E1B48"/>
    <w:rsid w:val="007E288D"/>
    <w:rsid w:val="007E3B7B"/>
    <w:rsid w:val="007E4CD3"/>
    <w:rsid w:val="007E66C6"/>
    <w:rsid w:val="007E715F"/>
    <w:rsid w:val="007F0A4A"/>
    <w:rsid w:val="007F1938"/>
    <w:rsid w:val="007F1CD3"/>
    <w:rsid w:val="007F20BF"/>
    <w:rsid w:val="007F4958"/>
    <w:rsid w:val="007F4EE0"/>
    <w:rsid w:val="007F68BA"/>
    <w:rsid w:val="007F768A"/>
    <w:rsid w:val="008006FD"/>
    <w:rsid w:val="00800BDD"/>
    <w:rsid w:val="0080128E"/>
    <w:rsid w:val="008012C3"/>
    <w:rsid w:val="0080149A"/>
    <w:rsid w:val="00802C23"/>
    <w:rsid w:val="00805765"/>
    <w:rsid w:val="00814CB0"/>
    <w:rsid w:val="0081553E"/>
    <w:rsid w:val="00815C4B"/>
    <w:rsid w:val="0081770F"/>
    <w:rsid w:val="00817772"/>
    <w:rsid w:val="00817B83"/>
    <w:rsid w:val="00817E2A"/>
    <w:rsid w:val="00820710"/>
    <w:rsid w:val="00821F6D"/>
    <w:rsid w:val="00823081"/>
    <w:rsid w:val="00826CC0"/>
    <w:rsid w:val="00826D5B"/>
    <w:rsid w:val="00826D69"/>
    <w:rsid w:val="00827286"/>
    <w:rsid w:val="008311DD"/>
    <w:rsid w:val="008316FD"/>
    <w:rsid w:val="00831B82"/>
    <w:rsid w:val="0083518A"/>
    <w:rsid w:val="008358D0"/>
    <w:rsid w:val="00836BA0"/>
    <w:rsid w:val="00837A7B"/>
    <w:rsid w:val="00840359"/>
    <w:rsid w:val="00841263"/>
    <w:rsid w:val="00841F85"/>
    <w:rsid w:val="008443FA"/>
    <w:rsid w:val="008448B6"/>
    <w:rsid w:val="00846CFA"/>
    <w:rsid w:val="008474EA"/>
    <w:rsid w:val="00850815"/>
    <w:rsid w:val="0085090A"/>
    <w:rsid w:val="00850F44"/>
    <w:rsid w:val="00851485"/>
    <w:rsid w:val="008540E1"/>
    <w:rsid w:val="00854D92"/>
    <w:rsid w:val="00855BC6"/>
    <w:rsid w:val="00855EF3"/>
    <w:rsid w:val="00855F71"/>
    <w:rsid w:val="00856233"/>
    <w:rsid w:val="00856941"/>
    <w:rsid w:val="00856B58"/>
    <w:rsid w:val="00857EFC"/>
    <w:rsid w:val="00862DB1"/>
    <w:rsid w:val="00865ED4"/>
    <w:rsid w:val="00866719"/>
    <w:rsid w:val="00866BEE"/>
    <w:rsid w:val="00867702"/>
    <w:rsid w:val="00870BF2"/>
    <w:rsid w:val="00870EB6"/>
    <w:rsid w:val="0087192F"/>
    <w:rsid w:val="008728AB"/>
    <w:rsid w:val="00872AE5"/>
    <w:rsid w:val="00873E6B"/>
    <w:rsid w:val="00876F3B"/>
    <w:rsid w:val="0088029F"/>
    <w:rsid w:val="00880EB0"/>
    <w:rsid w:val="00882578"/>
    <w:rsid w:val="008857FA"/>
    <w:rsid w:val="008876DA"/>
    <w:rsid w:val="00893176"/>
    <w:rsid w:val="0089360D"/>
    <w:rsid w:val="00894383"/>
    <w:rsid w:val="00895EFC"/>
    <w:rsid w:val="008968BC"/>
    <w:rsid w:val="00897263"/>
    <w:rsid w:val="00897D9B"/>
    <w:rsid w:val="008A03AD"/>
    <w:rsid w:val="008A0E84"/>
    <w:rsid w:val="008A24E5"/>
    <w:rsid w:val="008A349E"/>
    <w:rsid w:val="008A416F"/>
    <w:rsid w:val="008B0CD8"/>
    <w:rsid w:val="008B1BA7"/>
    <w:rsid w:val="008B234C"/>
    <w:rsid w:val="008B2AD1"/>
    <w:rsid w:val="008B30DF"/>
    <w:rsid w:val="008B3D4A"/>
    <w:rsid w:val="008B4F79"/>
    <w:rsid w:val="008B55A8"/>
    <w:rsid w:val="008B5809"/>
    <w:rsid w:val="008B6435"/>
    <w:rsid w:val="008B6664"/>
    <w:rsid w:val="008B7A13"/>
    <w:rsid w:val="008B7CF1"/>
    <w:rsid w:val="008C2473"/>
    <w:rsid w:val="008C33E8"/>
    <w:rsid w:val="008C4612"/>
    <w:rsid w:val="008C4C07"/>
    <w:rsid w:val="008C60D1"/>
    <w:rsid w:val="008D0908"/>
    <w:rsid w:val="008D0DEB"/>
    <w:rsid w:val="008D2DA3"/>
    <w:rsid w:val="008D2E2F"/>
    <w:rsid w:val="008D44BD"/>
    <w:rsid w:val="008D452F"/>
    <w:rsid w:val="008D46A5"/>
    <w:rsid w:val="008D5236"/>
    <w:rsid w:val="008D5561"/>
    <w:rsid w:val="008D572C"/>
    <w:rsid w:val="008D589C"/>
    <w:rsid w:val="008D5F80"/>
    <w:rsid w:val="008D62F8"/>
    <w:rsid w:val="008D70C6"/>
    <w:rsid w:val="008E1D78"/>
    <w:rsid w:val="008E3015"/>
    <w:rsid w:val="008E4AD4"/>
    <w:rsid w:val="008E6188"/>
    <w:rsid w:val="008E72D0"/>
    <w:rsid w:val="008F2001"/>
    <w:rsid w:val="008F2837"/>
    <w:rsid w:val="008F50C0"/>
    <w:rsid w:val="008F56EC"/>
    <w:rsid w:val="008F641E"/>
    <w:rsid w:val="008F64D8"/>
    <w:rsid w:val="008F6A3A"/>
    <w:rsid w:val="008F6BF3"/>
    <w:rsid w:val="008F72A8"/>
    <w:rsid w:val="008F780D"/>
    <w:rsid w:val="008F781E"/>
    <w:rsid w:val="008F7B2B"/>
    <w:rsid w:val="009000BB"/>
    <w:rsid w:val="0090110F"/>
    <w:rsid w:val="009014C7"/>
    <w:rsid w:val="009027C7"/>
    <w:rsid w:val="00902A98"/>
    <w:rsid w:val="00902FF6"/>
    <w:rsid w:val="00903052"/>
    <w:rsid w:val="00905E1A"/>
    <w:rsid w:val="00907567"/>
    <w:rsid w:val="00910FCF"/>
    <w:rsid w:val="009131B9"/>
    <w:rsid w:val="0091371A"/>
    <w:rsid w:val="00914FCA"/>
    <w:rsid w:val="009150B7"/>
    <w:rsid w:val="009156C7"/>
    <w:rsid w:val="0091572F"/>
    <w:rsid w:val="00920FE0"/>
    <w:rsid w:val="009235F7"/>
    <w:rsid w:val="00923B7B"/>
    <w:rsid w:val="00923D6A"/>
    <w:rsid w:val="009255C8"/>
    <w:rsid w:val="00925A1C"/>
    <w:rsid w:val="00925A2C"/>
    <w:rsid w:val="00925F35"/>
    <w:rsid w:val="009260C7"/>
    <w:rsid w:val="0093077E"/>
    <w:rsid w:val="00930CEF"/>
    <w:rsid w:val="00931069"/>
    <w:rsid w:val="009313FF"/>
    <w:rsid w:val="00933E71"/>
    <w:rsid w:val="00933F59"/>
    <w:rsid w:val="00934F1C"/>
    <w:rsid w:val="0093545D"/>
    <w:rsid w:val="009409BC"/>
    <w:rsid w:val="009421B6"/>
    <w:rsid w:val="00943B61"/>
    <w:rsid w:val="0094605B"/>
    <w:rsid w:val="0094625C"/>
    <w:rsid w:val="00946392"/>
    <w:rsid w:val="00946D1D"/>
    <w:rsid w:val="009515B0"/>
    <w:rsid w:val="0095174D"/>
    <w:rsid w:val="00951753"/>
    <w:rsid w:val="00954F2D"/>
    <w:rsid w:val="009579AA"/>
    <w:rsid w:val="00957CAC"/>
    <w:rsid w:val="00960179"/>
    <w:rsid w:val="009612B5"/>
    <w:rsid w:val="0096169B"/>
    <w:rsid w:val="0096212F"/>
    <w:rsid w:val="009623EA"/>
    <w:rsid w:val="009638AD"/>
    <w:rsid w:val="00965428"/>
    <w:rsid w:val="009657F9"/>
    <w:rsid w:val="009658DF"/>
    <w:rsid w:val="0096709D"/>
    <w:rsid w:val="0096771E"/>
    <w:rsid w:val="00967721"/>
    <w:rsid w:val="00970572"/>
    <w:rsid w:val="0097220B"/>
    <w:rsid w:val="00972EB4"/>
    <w:rsid w:val="0097414E"/>
    <w:rsid w:val="00974A92"/>
    <w:rsid w:val="0097506A"/>
    <w:rsid w:val="00975AA4"/>
    <w:rsid w:val="0098153C"/>
    <w:rsid w:val="00981F18"/>
    <w:rsid w:val="00982540"/>
    <w:rsid w:val="00982D27"/>
    <w:rsid w:val="009834EA"/>
    <w:rsid w:val="00984FA2"/>
    <w:rsid w:val="00985D82"/>
    <w:rsid w:val="0098778F"/>
    <w:rsid w:val="0098787D"/>
    <w:rsid w:val="00990900"/>
    <w:rsid w:val="00990DF6"/>
    <w:rsid w:val="00990F53"/>
    <w:rsid w:val="009910CD"/>
    <w:rsid w:val="00991322"/>
    <w:rsid w:val="00991574"/>
    <w:rsid w:val="00993AE7"/>
    <w:rsid w:val="009962E6"/>
    <w:rsid w:val="00996AC7"/>
    <w:rsid w:val="00997BB6"/>
    <w:rsid w:val="009A00DA"/>
    <w:rsid w:val="009A0D36"/>
    <w:rsid w:val="009A0DED"/>
    <w:rsid w:val="009A313D"/>
    <w:rsid w:val="009A38C8"/>
    <w:rsid w:val="009A3B79"/>
    <w:rsid w:val="009A561F"/>
    <w:rsid w:val="009A5C99"/>
    <w:rsid w:val="009A6429"/>
    <w:rsid w:val="009A64B5"/>
    <w:rsid w:val="009A6F35"/>
    <w:rsid w:val="009A71BA"/>
    <w:rsid w:val="009A7D77"/>
    <w:rsid w:val="009B02D2"/>
    <w:rsid w:val="009B0B99"/>
    <w:rsid w:val="009B1177"/>
    <w:rsid w:val="009B1250"/>
    <w:rsid w:val="009B1D54"/>
    <w:rsid w:val="009B3739"/>
    <w:rsid w:val="009B3E52"/>
    <w:rsid w:val="009B4944"/>
    <w:rsid w:val="009B50FC"/>
    <w:rsid w:val="009B5DAC"/>
    <w:rsid w:val="009C0188"/>
    <w:rsid w:val="009C0DE4"/>
    <w:rsid w:val="009C1938"/>
    <w:rsid w:val="009C40A2"/>
    <w:rsid w:val="009C5854"/>
    <w:rsid w:val="009C64CA"/>
    <w:rsid w:val="009C67C0"/>
    <w:rsid w:val="009C7B3B"/>
    <w:rsid w:val="009D0CF8"/>
    <w:rsid w:val="009D10B7"/>
    <w:rsid w:val="009D29DF"/>
    <w:rsid w:val="009D3462"/>
    <w:rsid w:val="009D3DEB"/>
    <w:rsid w:val="009D4222"/>
    <w:rsid w:val="009D468A"/>
    <w:rsid w:val="009D475C"/>
    <w:rsid w:val="009D5D65"/>
    <w:rsid w:val="009E12D4"/>
    <w:rsid w:val="009E177B"/>
    <w:rsid w:val="009E22D4"/>
    <w:rsid w:val="009E2DDF"/>
    <w:rsid w:val="009E2EF6"/>
    <w:rsid w:val="009E3149"/>
    <w:rsid w:val="009E33E6"/>
    <w:rsid w:val="009E3F46"/>
    <w:rsid w:val="009E40F2"/>
    <w:rsid w:val="009E4D3E"/>
    <w:rsid w:val="009E5273"/>
    <w:rsid w:val="009E7072"/>
    <w:rsid w:val="009F04B8"/>
    <w:rsid w:val="009F0613"/>
    <w:rsid w:val="009F0840"/>
    <w:rsid w:val="009F099A"/>
    <w:rsid w:val="009F0A61"/>
    <w:rsid w:val="009F0DDF"/>
    <w:rsid w:val="009F128F"/>
    <w:rsid w:val="009F1955"/>
    <w:rsid w:val="009F1DC3"/>
    <w:rsid w:val="009F250C"/>
    <w:rsid w:val="009F32AE"/>
    <w:rsid w:val="009F47AA"/>
    <w:rsid w:val="009F7734"/>
    <w:rsid w:val="009F7DFC"/>
    <w:rsid w:val="009F7F0D"/>
    <w:rsid w:val="009F7FE2"/>
    <w:rsid w:val="00A00B5A"/>
    <w:rsid w:val="00A00E88"/>
    <w:rsid w:val="00A016E0"/>
    <w:rsid w:val="00A02A7C"/>
    <w:rsid w:val="00A034E4"/>
    <w:rsid w:val="00A0397E"/>
    <w:rsid w:val="00A04453"/>
    <w:rsid w:val="00A04836"/>
    <w:rsid w:val="00A04BF0"/>
    <w:rsid w:val="00A05B68"/>
    <w:rsid w:val="00A06322"/>
    <w:rsid w:val="00A06F0B"/>
    <w:rsid w:val="00A10666"/>
    <w:rsid w:val="00A10B78"/>
    <w:rsid w:val="00A10CCF"/>
    <w:rsid w:val="00A114D8"/>
    <w:rsid w:val="00A13385"/>
    <w:rsid w:val="00A134AE"/>
    <w:rsid w:val="00A138D8"/>
    <w:rsid w:val="00A14F44"/>
    <w:rsid w:val="00A17B43"/>
    <w:rsid w:val="00A235AA"/>
    <w:rsid w:val="00A249DB"/>
    <w:rsid w:val="00A250F6"/>
    <w:rsid w:val="00A25F85"/>
    <w:rsid w:val="00A27487"/>
    <w:rsid w:val="00A27D0D"/>
    <w:rsid w:val="00A30486"/>
    <w:rsid w:val="00A30B94"/>
    <w:rsid w:val="00A30D0B"/>
    <w:rsid w:val="00A33033"/>
    <w:rsid w:val="00A34340"/>
    <w:rsid w:val="00A346AD"/>
    <w:rsid w:val="00A369BA"/>
    <w:rsid w:val="00A377FD"/>
    <w:rsid w:val="00A378E5"/>
    <w:rsid w:val="00A41B1D"/>
    <w:rsid w:val="00A41E83"/>
    <w:rsid w:val="00A42A8C"/>
    <w:rsid w:val="00A42B44"/>
    <w:rsid w:val="00A47BC8"/>
    <w:rsid w:val="00A524EC"/>
    <w:rsid w:val="00A52F91"/>
    <w:rsid w:val="00A54946"/>
    <w:rsid w:val="00A56DE1"/>
    <w:rsid w:val="00A60BF0"/>
    <w:rsid w:val="00A60D3A"/>
    <w:rsid w:val="00A61234"/>
    <w:rsid w:val="00A61E08"/>
    <w:rsid w:val="00A62AF5"/>
    <w:rsid w:val="00A63F55"/>
    <w:rsid w:val="00A6486A"/>
    <w:rsid w:val="00A64AE6"/>
    <w:rsid w:val="00A65A31"/>
    <w:rsid w:val="00A677ED"/>
    <w:rsid w:val="00A7167B"/>
    <w:rsid w:val="00A733F7"/>
    <w:rsid w:val="00A7385A"/>
    <w:rsid w:val="00A73C65"/>
    <w:rsid w:val="00A753C2"/>
    <w:rsid w:val="00A773C2"/>
    <w:rsid w:val="00A8003F"/>
    <w:rsid w:val="00A80165"/>
    <w:rsid w:val="00A804A0"/>
    <w:rsid w:val="00A80BA9"/>
    <w:rsid w:val="00A8143D"/>
    <w:rsid w:val="00A82031"/>
    <w:rsid w:val="00A837DD"/>
    <w:rsid w:val="00A83FD4"/>
    <w:rsid w:val="00A852F5"/>
    <w:rsid w:val="00A856EA"/>
    <w:rsid w:val="00A85D2A"/>
    <w:rsid w:val="00A8631F"/>
    <w:rsid w:val="00A87ED1"/>
    <w:rsid w:val="00A925D0"/>
    <w:rsid w:val="00A94AE8"/>
    <w:rsid w:val="00A96524"/>
    <w:rsid w:val="00A97913"/>
    <w:rsid w:val="00AA0438"/>
    <w:rsid w:val="00AA0F31"/>
    <w:rsid w:val="00AA10C8"/>
    <w:rsid w:val="00AA2790"/>
    <w:rsid w:val="00AA46C7"/>
    <w:rsid w:val="00AA53D3"/>
    <w:rsid w:val="00AA56FB"/>
    <w:rsid w:val="00AA67FE"/>
    <w:rsid w:val="00AA689C"/>
    <w:rsid w:val="00AA6914"/>
    <w:rsid w:val="00AA6DB0"/>
    <w:rsid w:val="00AB0EEE"/>
    <w:rsid w:val="00AB1D3A"/>
    <w:rsid w:val="00AB24DB"/>
    <w:rsid w:val="00AB2B15"/>
    <w:rsid w:val="00AB2F61"/>
    <w:rsid w:val="00AB3DBB"/>
    <w:rsid w:val="00AB41B0"/>
    <w:rsid w:val="00AB4C69"/>
    <w:rsid w:val="00AB7132"/>
    <w:rsid w:val="00AB742D"/>
    <w:rsid w:val="00AC190A"/>
    <w:rsid w:val="00AC219C"/>
    <w:rsid w:val="00AC26B4"/>
    <w:rsid w:val="00AC45ED"/>
    <w:rsid w:val="00AC690A"/>
    <w:rsid w:val="00AD00B3"/>
    <w:rsid w:val="00AD29E5"/>
    <w:rsid w:val="00AD5455"/>
    <w:rsid w:val="00AD5B8A"/>
    <w:rsid w:val="00AE2D36"/>
    <w:rsid w:val="00AE3E28"/>
    <w:rsid w:val="00AE3EF8"/>
    <w:rsid w:val="00AE444B"/>
    <w:rsid w:val="00AE4CA0"/>
    <w:rsid w:val="00AE4F16"/>
    <w:rsid w:val="00AE6201"/>
    <w:rsid w:val="00AE6602"/>
    <w:rsid w:val="00AE7194"/>
    <w:rsid w:val="00AE7EED"/>
    <w:rsid w:val="00AF0B0E"/>
    <w:rsid w:val="00AF3857"/>
    <w:rsid w:val="00AF479B"/>
    <w:rsid w:val="00AF493D"/>
    <w:rsid w:val="00AF57D0"/>
    <w:rsid w:val="00AF60C7"/>
    <w:rsid w:val="00AF69AB"/>
    <w:rsid w:val="00AF7209"/>
    <w:rsid w:val="00B00977"/>
    <w:rsid w:val="00B011FB"/>
    <w:rsid w:val="00B01EDA"/>
    <w:rsid w:val="00B03A61"/>
    <w:rsid w:val="00B04223"/>
    <w:rsid w:val="00B043AA"/>
    <w:rsid w:val="00B04FF9"/>
    <w:rsid w:val="00B059A8"/>
    <w:rsid w:val="00B05D4D"/>
    <w:rsid w:val="00B06E79"/>
    <w:rsid w:val="00B10ADB"/>
    <w:rsid w:val="00B10F73"/>
    <w:rsid w:val="00B119D2"/>
    <w:rsid w:val="00B12516"/>
    <w:rsid w:val="00B12A5E"/>
    <w:rsid w:val="00B161CC"/>
    <w:rsid w:val="00B17C82"/>
    <w:rsid w:val="00B22FA0"/>
    <w:rsid w:val="00B24551"/>
    <w:rsid w:val="00B2523F"/>
    <w:rsid w:val="00B262E9"/>
    <w:rsid w:val="00B262F4"/>
    <w:rsid w:val="00B27008"/>
    <w:rsid w:val="00B3070C"/>
    <w:rsid w:val="00B309A3"/>
    <w:rsid w:val="00B30A15"/>
    <w:rsid w:val="00B316AD"/>
    <w:rsid w:val="00B318BE"/>
    <w:rsid w:val="00B32717"/>
    <w:rsid w:val="00B32A99"/>
    <w:rsid w:val="00B337C1"/>
    <w:rsid w:val="00B3383B"/>
    <w:rsid w:val="00B345E3"/>
    <w:rsid w:val="00B34996"/>
    <w:rsid w:val="00B35272"/>
    <w:rsid w:val="00B35398"/>
    <w:rsid w:val="00B3612A"/>
    <w:rsid w:val="00B361E9"/>
    <w:rsid w:val="00B37514"/>
    <w:rsid w:val="00B37D51"/>
    <w:rsid w:val="00B406FA"/>
    <w:rsid w:val="00B41841"/>
    <w:rsid w:val="00B424EF"/>
    <w:rsid w:val="00B4355C"/>
    <w:rsid w:val="00B45878"/>
    <w:rsid w:val="00B45FD0"/>
    <w:rsid w:val="00B46221"/>
    <w:rsid w:val="00B47158"/>
    <w:rsid w:val="00B4735F"/>
    <w:rsid w:val="00B47628"/>
    <w:rsid w:val="00B511BA"/>
    <w:rsid w:val="00B548E2"/>
    <w:rsid w:val="00B556EC"/>
    <w:rsid w:val="00B55D29"/>
    <w:rsid w:val="00B56C47"/>
    <w:rsid w:val="00B61DB7"/>
    <w:rsid w:val="00B63E53"/>
    <w:rsid w:val="00B6598E"/>
    <w:rsid w:val="00B67D59"/>
    <w:rsid w:val="00B703B3"/>
    <w:rsid w:val="00B713C1"/>
    <w:rsid w:val="00B715FD"/>
    <w:rsid w:val="00B71A20"/>
    <w:rsid w:val="00B72653"/>
    <w:rsid w:val="00B72EAC"/>
    <w:rsid w:val="00B731BC"/>
    <w:rsid w:val="00B74E3A"/>
    <w:rsid w:val="00B76FCC"/>
    <w:rsid w:val="00B772CA"/>
    <w:rsid w:val="00B77CC6"/>
    <w:rsid w:val="00B8044A"/>
    <w:rsid w:val="00B81EFB"/>
    <w:rsid w:val="00B83B3E"/>
    <w:rsid w:val="00B83F8B"/>
    <w:rsid w:val="00B84722"/>
    <w:rsid w:val="00B84B06"/>
    <w:rsid w:val="00B84C37"/>
    <w:rsid w:val="00B85BEA"/>
    <w:rsid w:val="00B863EE"/>
    <w:rsid w:val="00B9076E"/>
    <w:rsid w:val="00B9217D"/>
    <w:rsid w:val="00B92245"/>
    <w:rsid w:val="00B92C97"/>
    <w:rsid w:val="00B93120"/>
    <w:rsid w:val="00B95B28"/>
    <w:rsid w:val="00B96C2B"/>
    <w:rsid w:val="00BA1218"/>
    <w:rsid w:val="00BA2193"/>
    <w:rsid w:val="00BA4AA7"/>
    <w:rsid w:val="00BA6B8A"/>
    <w:rsid w:val="00BA732C"/>
    <w:rsid w:val="00BA7C97"/>
    <w:rsid w:val="00BB257F"/>
    <w:rsid w:val="00BB2AC0"/>
    <w:rsid w:val="00BB4143"/>
    <w:rsid w:val="00BB442E"/>
    <w:rsid w:val="00BB477A"/>
    <w:rsid w:val="00BB58AD"/>
    <w:rsid w:val="00BB6599"/>
    <w:rsid w:val="00BB6DEB"/>
    <w:rsid w:val="00BB7D30"/>
    <w:rsid w:val="00BC1379"/>
    <w:rsid w:val="00BC25A0"/>
    <w:rsid w:val="00BC3CF2"/>
    <w:rsid w:val="00BC65F1"/>
    <w:rsid w:val="00BC78F1"/>
    <w:rsid w:val="00BC7B0B"/>
    <w:rsid w:val="00BD1833"/>
    <w:rsid w:val="00BD1D47"/>
    <w:rsid w:val="00BD2379"/>
    <w:rsid w:val="00BD2844"/>
    <w:rsid w:val="00BD35C0"/>
    <w:rsid w:val="00BD3EE3"/>
    <w:rsid w:val="00BD5864"/>
    <w:rsid w:val="00BD5D34"/>
    <w:rsid w:val="00BD7A6F"/>
    <w:rsid w:val="00BD7CF1"/>
    <w:rsid w:val="00BE0BE9"/>
    <w:rsid w:val="00BE0F13"/>
    <w:rsid w:val="00BE11BE"/>
    <w:rsid w:val="00BE129B"/>
    <w:rsid w:val="00BE1A05"/>
    <w:rsid w:val="00BE293A"/>
    <w:rsid w:val="00BE2FEE"/>
    <w:rsid w:val="00BE3467"/>
    <w:rsid w:val="00BE40DB"/>
    <w:rsid w:val="00BE6E37"/>
    <w:rsid w:val="00BE7297"/>
    <w:rsid w:val="00BE752B"/>
    <w:rsid w:val="00BE7BA8"/>
    <w:rsid w:val="00BF0279"/>
    <w:rsid w:val="00BF0DE9"/>
    <w:rsid w:val="00BF1037"/>
    <w:rsid w:val="00BF20A8"/>
    <w:rsid w:val="00BF2EDE"/>
    <w:rsid w:val="00BF4BB6"/>
    <w:rsid w:val="00BF5D8A"/>
    <w:rsid w:val="00BF5DC4"/>
    <w:rsid w:val="00BF60DE"/>
    <w:rsid w:val="00BF691A"/>
    <w:rsid w:val="00BF7C23"/>
    <w:rsid w:val="00C001AC"/>
    <w:rsid w:val="00C0197F"/>
    <w:rsid w:val="00C01D6D"/>
    <w:rsid w:val="00C02B27"/>
    <w:rsid w:val="00C03FEB"/>
    <w:rsid w:val="00C04777"/>
    <w:rsid w:val="00C04F79"/>
    <w:rsid w:val="00C050DC"/>
    <w:rsid w:val="00C054AF"/>
    <w:rsid w:val="00C076C8"/>
    <w:rsid w:val="00C0779A"/>
    <w:rsid w:val="00C07E6D"/>
    <w:rsid w:val="00C10F3A"/>
    <w:rsid w:val="00C1119C"/>
    <w:rsid w:val="00C119B7"/>
    <w:rsid w:val="00C14634"/>
    <w:rsid w:val="00C15247"/>
    <w:rsid w:val="00C15514"/>
    <w:rsid w:val="00C162F8"/>
    <w:rsid w:val="00C1662E"/>
    <w:rsid w:val="00C16807"/>
    <w:rsid w:val="00C17132"/>
    <w:rsid w:val="00C17E6B"/>
    <w:rsid w:val="00C20F8D"/>
    <w:rsid w:val="00C20FC3"/>
    <w:rsid w:val="00C21587"/>
    <w:rsid w:val="00C21A85"/>
    <w:rsid w:val="00C21ED5"/>
    <w:rsid w:val="00C2490D"/>
    <w:rsid w:val="00C25E66"/>
    <w:rsid w:val="00C2643F"/>
    <w:rsid w:val="00C26D81"/>
    <w:rsid w:val="00C2703C"/>
    <w:rsid w:val="00C27228"/>
    <w:rsid w:val="00C27BFE"/>
    <w:rsid w:val="00C3219F"/>
    <w:rsid w:val="00C334F0"/>
    <w:rsid w:val="00C338F3"/>
    <w:rsid w:val="00C34ACA"/>
    <w:rsid w:val="00C37192"/>
    <w:rsid w:val="00C375DB"/>
    <w:rsid w:val="00C40291"/>
    <w:rsid w:val="00C414C7"/>
    <w:rsid w:val="00C41DEE"/>
    <w:rsid w:val="00C420DD"/>
    <w:rsid w:val="00C434F8"/>
    <w:rsid w:val="00C441DC"/>
    <w:rsid w:val="00C44522"/>
    <w:rsid w:val="00C445CB"/>
    <w:rsid w:val="00C448FC"/>
    <w:rsid w:val="00C45AFA"/>
    <w:rsid w:val="00C501BD"/>
    <w:rsid w:val="00C5035E"/>
    <w:rsid w:val="00C5068A"/>
    <w:rsid w:val="00C50FE9"/>
    <w:rsid w:val="00C515FC"/>
    <w:rsid w:val="00C51B46"/>
    <w:rsid w:val="00C52B53"/>
    <w:rsid w:val="00C53298"/>
    <w:rsid w:val="00C549B7"/>
    <w:rsid w:val="00C55204"/>
    <w:rsid w:val="00C55B01"/>
    <w:rsid w:val="00C56F9F"/>
    <w:rsid w:val="00C57A1E"/>
    <w:rsid w:val="00C57D1D"/>
    <w:rsid w:val="00C600C7"/>
    <w:rsid w:val="00C60C61"/>
    <w:rsid w:val="00C61288"/>
    <w:rsid w:val="00C61FA7"/>
    <w:rsid w:val="00C62793"/>
    <w:rsid w:val="00C640C2"/>
    <w:rsid w:val="00C70147"/>
    <w:rsid w:val="00C70454"/>
    <w:rsid w:val="00C70E9D"/>
    <w:rsid w:val="00C714A6"/>
    <w:rsid w:val="00C71599"/>
    <w:rsid w:val="00C71B61"/>
    <w:rsid w:val="00C71B82"/>
    <w:rsid w:val="00C739FA"/>
    <w:rsid w:val="00C75469"/>
    <w:rsid w:val="00C7595D"/>
    <w:rsid w:val="00C7660B"/>
    <w:rsid w:val="00C76F06"/>
    <w:rsid w:val="00C77D8D"/>
    <w:rsid w:val="00C77FC2"/>
    <w:rsid w:val="00C84028"/>
    <w:rsid w:val="00C85F72"/>
    <w:rsid w:val="00C86EEC"/>
    <w:rsid w:val="00C874C2"/>
    <w:rsid w:val="00C90EE5"/>
    <w:rsid w:val="00C91F2F"/>
    <w:rsid w:val="00C91F46"/>
    <w:rsid w:val="00C9239A"/>
    <w:rsid w:val="00C94660"/>
    <w:rsid w:val="00C95A28"/>
    <w:rsid w:val="00CA0FE5"/>
    <w:rsid w:val="00CA1AC2"/>
    <w:rsid w:val="00CA3F76"/>
    <w:rsid w:val="00CA452C"/>
    <w:rsid w:val="00CA5231"/>
    <w:rsid w:val="00CA6B0D"/>
    <w:rsid w:val="00CA7F25"/>
    <w:rsid w:val="00CB0143"/>
    <w:rsid w:val="00CB014A"/>
    <w:rsid w:val="00CB051B"/>
    <w:rsid w:val="00CB09FB"/>
    <w:rsid w:val="00CB22BF"/>
    <w:rsid w:val="00CB281A"/>
    <w:rsid w:val="00CB364A"/>
    <w:rsid w:val="00CB6F38"/>
    <w:rsid w:val="00CB75F3"/>
    <w:rsid w:val="00CB7981"/>
    <w:rsid w:val="00CC0B20"/>
    <w:rsid w:val="00CC0C61"/>
    <w:rsid w:val="00CC2EE9"/>
    <w:rsid w:val="00CC3FDA"/>
    <w:rsid w:val="00CC427F"/>
    <w:rsid w:val="00CC60A3"/>
    <w:rsid w:val="00CC7EB3"/>
    <w:rsid w:val="00CD156F"/>
    <w:rsid w:val="00CD1A16"/>
    <w:rsid w:val="00CD22D7"/>
    <w:rsid w:val="00CD296C"/>
    <w:rsid w:val="00CD329F"/>
    <w:rsid w:val="00CD67B8"/>
    <w:rsid w:val="00CD75B3"/>
    <w:rsid w:val="00CE1551"/>
    <w:rsid w:val="00CE2CC5"/>
    <w:rsid w:val="00CE3D02"/>
    <w:rsid w:val="00CE47FC"/>
    <w:rsid w:val="00CE5B45"/>
    <w:rsid w:val="00CE6E26"/>
    <w:rsid w:val="00CE7453"/>
    <w:rsid w:val="00CF0B6C"/>
    <w:rsid w:val="00CF35C9"/>
    <w:rsid w:val="00CF6F2E"/>
    <w:rsid w:val="00D0029F"/>
    <w:rsid w:val="00D00341"/>
    <w:rsid w:val="00D01040"/>
    <w:rsid w:val="00D02042"/>
    <w:rsid w:val="00D02EF1"/>
    <w:rsid w:val="00D03426"/>
    <w:rsid w:val="00D03DFF"/>
    <w:rsid w:val="00D0454F"/>
    <w:rsid w:val="00D04951"/>
    <w:rsid w:val="00D04A93"/>
    <w:rsid w:val="00D056C5"/>
    <w:rsid w:val="00D05F6A"/>
    <w:rsid w:val="00D0615F"/>
    <w:rsid w:val="00D076D4"/>
    <w:rsid w:val="00D07C1E"/>
    <w:rsid w:val="00D120F5"/>
    <w:rsid w:val="00D127A7"/>
    <w:rsid w:val="00D127F3"/>
    <w:rsid w:val="00D1313C"/>
    <w:rsid w:val="00D1373C"/>
    <w:rsid w:val="00D14BEB"/>
    <w:rsid w:val="00D14CB7"/>
    <w:rsid w:val="00D14EDA"/>
    <w:rsid w:val="00D1509B"/>
    <w:rsid w:val="00D15381"/>
    <w:rsid w:val="00D15738"/>
    <w:rsid w:val="00D1591A"/>
    <w:rsid w:val="00D15B31"/>
    <w:rsid w:val="00D16992"/>
    <w:rsid w:val="00D16A85"/>
    <w:rsid w:val="00D216B9"/>
    <w:rsid w:val="00D26BBD"/>
    <w:rsid w:val="00D276DF"/>
    <w:rsid w:val="00D304F7"/>
    <w:rsid w:val="00D31A76"/>
    <w:rsid w:val="00D31C6B"/>
    <w:rsid w:val="00D331F4"/>
    <w:rsid w:val="00D33D14"/>
    <w:rsid w:val="00D34AF0"/>
    <w:rsid w:val="00D353D7"/>
    <w:rsid w:val="00D358AD"/>
    <w:rsid w:val="00D368C1"/>
    <w:rsid w:val="00D374FA"/>
    <w:rsid w:val="00D37B74"/>
    <w:rsid w:val="00D40BBF"/>
    <w:rsid w:val="00D419FB"/>
    <w:rsid w:val="00D41FCB"/>
    <w:rsid w:val="00D42A26"/>
    <w:rsid w:val="00D42E87"/>
    <w:rsid w:val="00D44E20"/>
    <w:rsid w:val="00D44EBD"/>
    <w:rsid w:val="00D45338"/>
    <w:rsid w:val="00D453FD"/>
    <w:rsid w:val="00D459E8"/>
    <w:rsid w:val="00D46EFF"/>
    <w:rsid w:val="00D47D9F"/>
    <w:rsid w:val="00D502F1"/>
    <w:rsid w:val="00D51AA7"/>
    <w:rsid w:val="00D5258E"/>
    <w:rsid w:val="00D52CFE"/>
    <w:rsid w:val="00D54270"/>
    <w:rsid w:val="00D547C8"/>
    <w:rsid w:val="00D558B0"/>
    <w:rsid w:val="00D56190"/>
    <w:rsid w:val="00D60809"/>
    <w:rsid w:val="00D62585"/>
    <w:rsid w:val="00D62CB0"/>
    <w:rsid w:val="00D6302C"/>
    <w:rsid w:val="00D63129"/>
    <w:rsid w:val="00D6394E"/>
    <w:rsid w:val="00D640CE"/>
    <w:rsid w:val="00D65588"/>
    <w:rsid w:val="00D655B0"/>
    <w:rsid w:val="00D65C76"/>
    <w:rsid w:val="00D6714C"/>
    <w:rsid w:val="00D676B4"/>
    <w:rsid w:val="00D6793F"/>
    <w:rsid w:val="00D701E9"/>
    <w:rsid w:val="00D703D0"/>
    <w:rsid w:val="00D705F7"/>
    <w:rsid w:val="00D71351"/>
    <w:rsid w:val="00D716D2"/>
    <w:rsid w:val="00D718CA"/>
    <w:rsid w:val="00D740EA"/>
    <w:rsid w:val="00D76620"/>
    <w:rsid w:val="00D769D7"/>
    <w:rsid w:val="00D77435"/>
    <w:rsid w:val="00D800F9"/>
    <w:rsid w:val="00D80A7B"/>
    <w:rsid w:val="00D80E45"/>
    <w:rsid w:val="00D81162"/>
    <w:rsid w:val="00D811A1"/>
    <w:rsid w:val="00D813A1"/>
    <w:rsid w:val="00D81789"/>
    <w:rsid w:val="00D81B4C"/>
    <w:rsid w:val="00D82661"/>
    <w:rsid w:val="00D833DB"/>
    <w:rsid w:val="00D83414"/>
    <w:rsid w:val="00D83C78"/>
    <w:rsid w:val="00D85C1A"/>
    <w:rsid w:val="00D86124"/>
    <w:rsid w:val="00D86F88"/>
    <w:rsid w:val="00D87086"/>
    <w:rsid w:val="00D877A0"/>
    <w:rsid w:val="00D8788D"/>
    <w:rsid w:val="00D90F25"/>
    <w:rsid w:val="00D91A31"/>
    <w:rsid w:val="00D92FC1"/>
    <w:rsid w:val="00D93005"/>
    <w:rsid w:val="00D93B2C"/>
    <w:rsid w:val="00D94EE1"/>
    <w:rsid w:val="00D96EE7"/>
    <w:rsid w:val="00DA02F3"/>
    <w:rsid w:val="00DA04EB"/>
    <w:rsid w:val="00DA13E8"/>
    <w:rsid w:val="00DA167B"/>
    <w:rsid w:val="00DA1AB5"/>
    <w:rsid w:val="00DA1E4A"/>
    <w:rsid w:val="00DA3B77"/>
    <w:rsid w:val="00DA4050"/>
    <w:rsid w:val="00DA6459"/>
    <w:rsid w:val="00DA6C22"/>
    <w:rsid w:val="00DA76BC"/>
    <w:rsid w:val="00DB27D7"/>
    <w:rsid w:val="00DB37FF"/>
    <w:rsid w:val="00DB4623"/>
    <w:rsid w:val="00DB46FE"/>
    <w:rsid w:val="00DB482C"/>
    <w:rsid w:val="00DB4F95"/>
    <w:rsid w:val="00DB549D"/>
    <w:rsid w:val="00DB5740"/>
    <w:rsid w:val="00DB5B07"/>
    <w:rsid w:val="00DB6950"/>
    <w:rsid w:val="00DB6A8F"/>
    <w:rsid w:val="00DB6F26"/>
    <w:rsid w:val="00DC0172"/>
    <w:rsid w:val="00DC0537"/>
    <w:rsid w:val="00DC07D3"/>
    <w:rsid w:val="00DC2295"/>
    <w:rsid w:val="00DC261D"/>
    <w:rsid w:val="00DC2A1B"/>
    <w:rsid w:val="00DC302E"/>
    <w:rsid w:val="00DC36DE"/>
    <w:rsid w:val="00DC395E"/>
    <w:rsid w:val="00DC5583"/>
    <w:rsid w:val="00DC5704"/>
    <w:rsid w:val="00DC60FD"/>
    <w:rsid w:val="00DC72BD"/>
    <w:rsid w:val="00DC78E8"/>
    <w:rsid w:val="00DD201A"/>
    <w:rsid w:val="00DD20EA"/>
    <w:rsid w:val="00DD3B47"/>
    <w:rsid w:val="00DD480C"/>
    <w:rsid w:val="00DD4A18"/>
    <w:rsid w:val="00DD5361"/>
    <w:rsid w:val="00DD5487"/>
    <w:rsid w:val="00DD5CB8"/>
    <w:rsid w:val="00DD6565"/>
    <w:rsid w:val="00DD66C5"/>
    <w:rsid w:val="00DD6D0D"/>
    <w:rsid w:val="00DD738B"/>
    <w:rsid w:val="00DE0668"/>
    <w:rsid w:val="00DE1224"/>
    <w:rsid w:val="00DE2D4E"/>
    <w:rsid w:val="00DE373F"/>
    <w:rsid w:val="00DE49EA"/>
    <w:rsid w:val="00DE4A32"/>
    <w:rsid w:val="00DE4A3D"/>
    <w:rsid w:val="00DE5405"/>
    <w:rsid w:val="00DE65A0"/>
    <w:rsid w:val="00DE6AC4"/>
    <w:rsid w:val="00DF0C5A"/>
    <w:rsid w:val="00DF198C"/>
    <w:rsid w:val="00DF3A8F"/>
    <w:rsid w:val="00DF4516"/>
    <w:rsid w:val="00DF4B36"/>
    <w:rsid w:val="00DF543A"/>
    <w:rsid w:val="00DF552C"/>
    <w:rsid w:val="00DF5CA2"/>
    <w:rsid w:val="00DF5F0E"/>
    <w:rsid w:val="00DF63A4"/>
    <w:rsid w:val="00DF7D23"/>
    <w:rsid w:val="00E001E2"/>
    <w:rsid w:val="00E00F1C"/>
    <w:rsid w:val="00E02074"/>
    <w:rsid w:val="00E03305"/>
    <w:rsid w:val="00E0331B"/>
    <w:rsid w:val="00E10549"/>
    <w:rsid w:val="00E11432"/>
    <w:rsid w:val="00E11F73"/>
    <w:rsid w:val="00E145E3"/>
    <w:rsid w:val="00E1473B"/>
    <w:rsid w:val="00E1500D"/>
    <w:rsid w:val="00E15AE5"/>
    <w:rsid w:val="00E1686D"/>
    <w:rsid w:val="00E17BEC"/>
    <w:rsid w:val="00E17CF6"/>
    <w:rsid w:val="00E2160B"/>
    <w:rsid w:val="00E21685"/>
    <w:rsid w:val="00E21BA7"/>
    <w:rsid w:val="00E249DA"/>
    <w:rsid w:val="00E271CC"/>
    <w:rsid w:val="00E27EE6"/>
    <w:rsid w:val="00E31C9C"/>
    <w:rsid w:val="00E31D28"/>
    <w:rsid w:val="00E3255A"/>
    <w:rsid w:val="00E3315B"/>
    <w:rsid w:val="00E3382C"/>
    <w:rsid w:val="00E3398C"/>
    <w:rsid w:val="00E34094"/>
    <w:rsid w:val="00E345D2"/>
    <w:rsid w:val="00E34A10"/>
    <w:rsid w:val="00E359E8"/>
    <w:rsid w:val="00E36CF7"/>
    <w:rsid w:val="00E3749B"/>
    <w:rsid w:val="00E37679"/>
    <w:rsid w:val="00E41200"/>
    <w:rsid w:val="00E428A7"/>
    <w:rsid w:val="00E44B67"/>
    <w:rsid w:val="00E45CCF"/>
    <w:rsid w:val="00E46908"/>
    <w:rsid w:val="00E46CB9"/>
    <w:rsid w:val="00E52654"/>
    <w:rsid w:val="00E53144"/>
    <w:rsid w:val="00E53BFB"/>
    <w:rsid w:val="00E55EE3"/>
    <w:rsid w:val="00E57B4B"/>
    <w:rsid w:val="00E60324"/>
    <w:rsid w:val="00E60C13"/>
    <w:rsid w:val="00E62693"/>
    <w:rsid w:val="00E63893"/>
    <w:rsid w:val="00E63AB2"/>
    <w:rsid w:val="00E6409E"/>
    <w:rsid w:val="00E66D63"/>
    <w:rsid w:val="00E66F21"/>
    <w:rsid w:val="00E677B3"/>
    <w:rsid w:val="00E70346"/>
    <w:rsid w:val="00E707C9"/>
    <w:rsid w:val="00E70F35"/>
    <w:rsid w:val="00E71F66"/>
    <w:rsid w:val="00E72638"/>
    <w:rsid w:val="00E72B0B"/>
    <w:rsid w:val="00E73789"/>
    <w:rsid w:val="00E748DA"/>
    <w:rsid w:val="00E76574"/>
    <w:rsid w:val="00E80355"/>
    <w:rsid w:val="00E808CD"/>
    <w:rsid w:val="00E80BDA"/>
    <w:rsid w:val="00E81C47"/>
    <w:rsid w:val="00E8276A"/>
    <w:rsid w:val="00E83AF9"/>
    <w:rsid w:val="00E84CD2"/>
    <w:rsid w:val="00E850BC"/>
    <w:rsid w:val="00E851B2"/>
    <w:rsid w:val="00E862C9"/>
    <w:rsid w:val="00E86EC4"/>
    <w:rsid w:val="00E8728B"/>
    <w:rsid w:val="00E90BDE"/>
    <w:rsid w:val="00E91472"/>
    <w:rsid w:val="00E9186B"/>
    <w:rsid w:val="00E92048"/>
    <w:rsid w:val="00E93008"/>
    <w:rsid w:val="00E9310B"/>
    <w:rsid w:val="00E94214"/>
    <w:rsid w:val="00E949FA"/>
    <w:rsid w:val="00E95386"/>
    <w:rsid w:val="00E95924"/>
    <w:rsid w:val="00E9659A"/>
    <w:rsid w:val="00E96B75"/>
    <w:rsid w:val="00E9791D"/>
    <w:rsid w:val="00EA00B2"/>
    <w:rsid w:val="00EA08C9"/>
    <w:rsid w:val="00EA4DDB"/>
    <w:rsid w:val="00EB1270"/>
    <w:rsid w:val="00EB12B1"/>
    <w:rsid w:val="00EB160E"/>
    <w:rsid w:val="00EB2AAD"/>
    <w:rsid w:val="00EB2B86"/>
    <w:rsid w:val="00EB599B"/>
    <w:rsid w:val="00EB5F20"/>
    <w:rsid w:val="00EB76FF"/>
    <w:rsid w:val="00EC02DC"/>
    <w:rsid w:val="00EC161E"/>
    <w:rsid w:val="00EC1A8A"/>
    <w:rsid w:val="00EC1FAC"/>
    <w:rsid w:val="00EC3388"/>
    <w:rsid w:val="00EC51EC"/>
    <w:rsid w:val="00EC698A"/>
    <w:rsid w:val="00EC6E66"/>
    <w:rsid w:val="00EC6F12"/>
    <w:rsid w:val="00EC72C2"/>
    <w:rsid w:val="00ED0B73"/>
    <w:rsid w:val="00ED0CB6"/>
    <w:rsid w:val="00ED1016"/>
    <w:rsid w:val="00ED1301"/>
    <w:rsid w:val="00ED31CB"/>
    <w:rsid w:val="00ED4858"/>
    <w:rsid w:val="00ED50E6"/>
    <w:rsid w:val="00ED66D9"/>
    <w:rsid w:val="00ED6845"/>
    <w:rsid w:val="00ED68FC"/>
    <w:rsid w:val="00ED73FC"/>
    <w:rsid w:val="00EE4D02"/>
    <w:rsid w:val="00EE4F5E"/>
    <w:rsid w:val="00EE5A9E"/>
    <w:rsid w:val="00EE66FC"/>
    <w:rsid w:val="00EE6E6A"/>
    <w:rsid w:val="00EE7AFE"/>
    <w:rsid w:val="00EE7ECA"/>
    <w:rsid w:val="00EE7F5A"/>
    <w:rsid w:val="00EF3F4E"/>
    <w:rsid w:val="00F00686"/>
    <w:rsid w:val="00F00B2D"/>
    <w:rsid w:val="00F01577"/>
    <w:rsid w:val="00F02FA5"/>
    <w:rsid w:val="00F034C0"/>
    <w:rsid w:val="00F04D21"/>
    <w:rsid w:val="00F05372"/>
    <w:rsid w:val="00F05B05"/>
    <w:rsid w:val="00F05B41"/>
    <w:rsid w:val="00F05CBD"/>
    <w:rsid w:val="00F06D56"/>
    <w:rsid w:val="00F07929"/>
    <w:rsid w:val="00F07E6E"/>
    <w:rsid w:val="00F10F0F"/>
    <w:rsid w:val="00F1245B"/>
    <w:rsid w:val="00F126B9"/>
    <w:rsid w:val="00F1453B"/>
    <w:rsid w:val="00F15F62"/>
    <w:rsid w:val="00F16F3C"/>
    <w:rsid w:val="00F1726E"/>
    <w:rsid w:val="00F20D5C"/>
    <w:rsid w:val="00F20DB3"/>
    <w:rsid w:val="00F214AA"/>
    <w:rsid w:val="00F21A5C"/>
    <w:rsid w:val="00F22048"/>
    <w:rsid w:val="00F23745"/>
    <w:rsid w:val="00F23CD1"/>
    <w:rsid w:val="00F25598"/>
    <w:rsid w:val="00F260D8"/>
    <w:rsid w:val="00F27AD2"/>
    <w:rsid w:val="00F31A8E"/>
    <w:rsid w:val="00F3275C"/>
    <w:rsid w:val="00F347A9"/>
    <w:rsid w:val="00F35476"/>
    <w:rsid w:val="00F35E4F"/>
    <w:rsid w:val="00F360E4"/>
    <w:rsid w:val="00F368E8"/>
    <w:rsid w:val="00F40214"/>
    <w:rsid w:val="00F405AA"/>
    <w:rsid w:val="00F42542"/>
    <w:rsid w:val="00F43515"/>
    <w:rsid w:val="00F436FF"/>
    <w:rsid w:val="00F44633"/>
    <w:rsid w:val="00F4666D"/>
    <w:rsid w:val="00F46D35"/>
    <w:rsid w:val="00F478BD"/>
    <w:rsid w:val="00F536CB"/>
    <w:rsid w:val="00F537BD"/>
    <w:rsid w:val="00F55F86"/>
    <w:rsid w:val="00F56232"/>
    <w:rsid w:val="00F56DF7"/>
    <w:rsid w:val="00F57673"/>
    <w:rsid w:val="00F60C38"/>
    <w:rsid w:val="00F60E88"/>
    <w:rsid w:val="00F718ED"/>
    <w:rsid w:val="00F7295C"/>
    <w:rsid w:val="00F7295D"/>
    <w:rsid w:val="00F7382E"/>
    <w:rsid w:val="00F73D2B"/>
    <w:rsid w:val="00F73FE2"/>
    <w:rsid w:val="00F75A90"/>
    <w:rsid w:val="00F75C06"/>
    <w:rsid w:val="00F76B4F"/>
    <w:rsid w:val="00F7725D"/>
    <w:rsid w:val="00F77574"/>
    <w:rsid w:val="00F77A70"/>
    <w:rsid w:val="00F81023"/>
    <w:rsid w:val="00F8169F"/>
    <w:rsid w:val="00F82072"/>
    <w:rsid w:val="00F822EE"/>
    <w:rsid w:val="00F82E1C"/>
    <w:rsid w:val="00F836E9"/>
    <w:rsid w:val="00F84147"/>
    <w:rsid w:val="00F84216"/>
    <w:rsid w:val="00F86531"/>
    <w:rsid w:val="00F868A1"/>
    <w:rsid w:val="00F87C87"/>
    <w:rsid w:val="00F90058"/>
    <w:rsid w:val="00F90733"/>
    <w:rsid w:val="00F907EA"/>
    <w:rsid w:val="00F91142"/>
    <w:rsid w:val="00F92453"/>
    <w:rsid w:val="00F92972"/>
    <w:rsid w:val="00F93E8B"/>
    <w:rsid w:val="00F944F2"/>
    <w:rsid w:val="00F95A7F"/>
    <w:rsid w:val="00F95B53"/>
    <w:rsid w:val="00F9706D"/>
    <w:rsid w:val="00F979ED"/>
    <w:rsid w:val="00F97AD3"/>
    <w:rsid w:val="00FA1539"/>
    <w:rsid w:val="00FA229B"/>
    <w:rsid w:val="00FA32F8"/>
    <w:rsid w:val="00FA3AE0"/>
    <w:rsid w:val="00FA565E"/>
    <w:rsid w:val="00FA65E9"/>
    <w:rsid w:val="00FA675E"/>
    <w:rsid w:val="00FA7347"/>
    <w:rsid w:val="00FA742D"/>
    <w:rsid w:val="00FA743F"/>
    <w:rsid w:val="00FA7E5E"/>
    <w:rsid w:val="00FB0DBF"/>
    <w:rsid w:val="00FB1197"/>
    <w:rsid w:val="00FB1EBE"/>
    <w:rsid w:val="00FB2362"/>
    <w:rsid w:val="00FB2C4A"/>
    <w:rsid w:val="00FB4876"/>
    <w:rsid w:val="00FB4DBF"/>
    <w:rsid w:val="00FB52A2"/>
    <w:rsid w:val="00FB5767"/>
    <w:rsid w:val="00FB5ED1"/>
    <w:rsid w:val="00FC02D3"/>
    <w:rsid w:val="00FC0BB7"/>
    <w:rsid w:val="00FC2620"/>
    <w:rsid w:val="00FC4637"/>
    <w:rsid w:val="00FC51E6"/>
    <w:rsid w:val="00FC6CDB"/>
    <w:rsid w:val="00FC70D9"/>
    <w:rsid w:val="00FC7D02"/>
    <w:rsid w:val="00FD033C"/>
    <w:rsid w:val="00FD2025"/>
    <w:rsid w:val="00FD2CA7"/>
    <w:rsid w:val="00FD6263"/>
    <w:rsid w:val="00FE110B"/>
    <w:rsid w:val="00FE66FE"/>
    <w:rsid w:val="00FE75F5"/>
    <w:rsid w:val="00FF03E0"/>
    <w:rsid w:val="00FF0E21"/>
    <w:rsid w:val="00FF1505"/>
    <w:rsid w:val="00FF17AD"/>
    <w:rsid w:val="00FF1B03"/>
    <w:rsid w:val="00FF66CA"/>
    <w:rsid w:val="00FF7808"/>
    <w:rsid w:val="00FF7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12375FD8"/>
  <w15:docId w15:val="{1288EC1A-16D0-C043-A693-AB66075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41A"/>
    <w:rPr>
      <w:color w:val="0563C1" w:themeColor="hyperlink"/>
      <w:u w:val="single"/>
    </w:rPr>
  </w:style>
  <w:style w:type="paragraph" w:styleId="FootnoteText">
    <w:name w:val="footnote text"/>
    <w:basedOn w:val="Normal"/>
    <w:link w:val="FootnoteTextChar"/>
    <w:semiHidden/>
    <w:rsid w:val="00CE7453"/>
    <w:rPr>
      <w:sz w:val="20"/>
      <w:szCs w:val="20"/>
    </w:rPr>
  </w:style>
  <w:style w:type="character" w:customStyle="1" w:styleId="FootnoteTextChar">
    <w:name w:val="Footnote Text Char"/>
    <w:basedOn w:val="DefaultParagraphFont"/>
    <w:link w:val="FootnoteText"/>
    <w:semiHidden/>
    <w:rsid w:val="00CE7453"/>
    <w:rPr>
      <w:rFonts w:ascii="Times New Roman" w:eastAsia="Times New Roman" w:hAnsi="Times New Roman" w:cs="Times New Roman"/>
      <w:sz w:val="20"/>
      <w:szCs w:val="20"/>
      <w:lang w:eastAsia="en-GB"/>
    </w:rPr>
  </w:style>
  <w:style w:type="character" w:styleId="FootnoteReference">
    <w:name w:val="footnote reference"/>
    <w:semiHidden/>
    <w:rsid w:val="00CE7453"/>
    <w:rPr>
      <w:vertAlign w:val="superscript"/>
    </w:rPr>
  </w:style>
  <w:style w:type="paragraph" w:styleId="Footer">
    <w:name w:val="footer"/>
    <w:basedOn w:val="Normal"/>
    <w:link w:val="FooterChar"/>
    <w:uiPriority w:val="99"/>
    <w:unhideWhenUsed/>
    <w:rsid w:val="002C4233"/>
    <w:pPr>
      <w:tabs>
        <w:tab w:val="center" w:pos="4680"/>
        <w:tab w:val="right" w:pos="9360"/>
      </w:tabs>
    </w:pPr>
  </w:style>
  <w:style w:type="character" w:customStyle="1" w:styleId="FooterChar">
    <w:name w:val="Footer Char"/>
    <w:basedOn w:val="DefaultParagraphFont"/>
    <w:link w:val="Footer"/>
    <w:uiPriority w:val="99"/>
    <w:rsid w:val="002C4233"/>
  </w:style>
  <w:style w:type="character" w:styleId="PageNumber">
    <w:name w:val="page number"/>
    <w:basedOn w:val="DefaultParagraphFont"/>
    <w:uiPriority w:val="99"/>
    <w:semiHidden/>
    <w:unhideWhenUsed/>
    <w:rsid w:val="002C4233"/>
  </w:style>
  <w:style w:type="paragraph" w:styleId="ListParagraph">
    <w:name w:val="List Paragraph"/>
    <w:basedOn w:val="Normal"/>
    <w:uiPriority w:val="34"/>
    <w:qFormat/>
    <w:rsid w:val="008311DD"/>
    <w:pPr>
      <w:ind w:left="720"/>
      <w:contextualSpacing/>
    </w:pPr>
  </w:style>
  <w:style w:type="paragraph" w:styleId="NormalWeb">
    <w:name w:val="Normal (Web)"/>
    <w:basedOn w:val="Normal"/>
    <w:uiPriority w:val="99"/>
    <w:unhideWhenUsed/>
    <w:rsid w:val="007376F0"/>
    <w:pPr>
      <w:spacing w:before="100" w:beforeAutospacing="1" w:after="100" w:afterAutospacing="1"/>
    </w:pPr>
  </w:style>
  <w:style w:type="character" w:customStyle="1" w:styleId="UnresolvedMention1">
    <w:name w:val="Unresolved Mention1"/>
    <w:basedOn w:val="DefaultParagraphFont"/>
    <w:uiPriority w:val="99"/>
    <w:semiHidden/>
    <w:unhideWhenUsed/>
    <w:rsid w:val="006A2E45"/>
    <w:rPr>
      <w:color w:val="605E5C"/>
      <w:shd w:val="clear" w:color="auto" w:fill="E1DFDD"/>
    </w:rPr>
  </w:style>
  <w:style w:type="character" w:styleId="PlaceholderText">
    <w:name w:val="Placeholder Text"/>
    <w:basedOn w:val="DefaultParagraphFont"/>
    <w:uiPriority w:val="99"/>
    <w:semiHidden/>
    <w:rsid w:val="005A772C"/>
    <w:rPr>
      <w:color w:val="808080"/>
    </w:rPr>
  </w:style>
  <w:style w:type="table" w:styleId="TableSimple1">
    <w:name w:val="Table Simple 1"/>
    <w:basedOn w:val="TableNormal"/>
    <w:rsid w:val="009D475C"/>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
    <w:name w:val="Body Text"/>
    <w:basedOn w:val="Normal"/>
    <w:link w:val="BodyTextChar"/>
    <w:rsid w:val="00E27EE6"/>
    <w:pPr>
      <w:jc w:val="center"/>
    </w:pPr>
    <w:rPr>
      <w:sz w:val="44"/>
    </w:rPr>
  </w:style>
  <w:style w:type="character" w:customStyle="1" w:styleId="BodyTextChar">
    <w:name w:val="Body Text Char"/>
    <w:basedOn w:val="DefaultParagraphFont"/>
    <w:link w:val="BodyText"/>
    <w:rsid w:val="00E27EE6"/>
    <w:rPr>
      <w:rFonts w:ascii="Times New Roman" w:eastAsia="Times New Roman" w:hAnsi="Times New Roman" w:cs="Times New Roman"/>
      <w:sz w:val="44"/>
      <w:szCs w:val="24"/>
    </w:rPr>
  </w:style>
  <w:style w:type="table" w:styleId="TableGrid">
    <w:name w:val="Table Grid"/>
    <w:basedOn w:val="TableNormal"/>
    <w:uiPriority w:val="39"/>
    <w:rsid w:val="0055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8044A"/>
  </w:style>
  <w:style w:type="character" w:customStyle="1" w:styleId="apple-converted-space">
    <w:name w:val="apple-converted-space"/>
    <w:basedOn w:val="DefaultParagraphFont"/>
    <w:rsid w:val="00B8044A"/>
  </w:style>
  <w:style w:type="character" w:styleId="FollowedHyperlink">
    <w:name w:val="FollowedHyperlink"/>
    <w:basedOn w:val="DefaultParagraphFont"/>
    <w:uiPriority w:val="99"/>
    <w:semiHidden/>
    <w:unhideWhenUsed/>
    <w:rsid w:val="00147893"/>
    <w:rPr>
      <w:color w:val="954F72" w:themeColor="followedHyperlink"/>
      <w:u w:val="single"/>
    </w:rPr>
  </w:style>
  <w:style w:type="paragraph" w:styleId="Revision">
    <w:name w:val="Revision"/>
    <w:hidden/>
    <w:uiPriority w:val="99"/>
    <w:semiHidden/>
    <w:rsid w:val="00CD75B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048">
      <w:bodyDiv w:val="1"/>
      <w:marLeft w:val="0"/>
      <w:marRight w:val="0"/>
      <w:marTop w:val="0"/>
      <w:marBottom w:val="0"/>
      <w:divBdr>
        <w:top w:val="none" w:sz="0" w:space="0" w:color="auto"/>
        <w:left w:val="none" w:sz="0" w:space="0" w:color="auto"/>
        <w:bottom w:val="none" w:sz="0" w:space="0" w:color="auto"/>
        <w:right w:val="none" w:sz="0" w:space="0" w:color="auto"/>
      </w:divBdr>
    </w:div>
    <w:div w:id="135221933">
      <w:bodyDiv w:val="1"/>
      <w:marLeft w:val="0"/>
      <w:marRight w:val="0"/>
      <w:marTop w:val="0"/>
      <w:marBottom w:val="0"/>
      <w:divBdr>
        <w:top w:val="none" w:sz="0" w:space="0" w:color="auto"/>
        <w:left w:val="none" w:sz="0" w:space="0" w:color="auto"/>
        <w:bottom w:val="none" w:sz="0" w:space="0" w:color="auto"/>
        <w:right w:val="none" w:sz="0" w:space="0" w:color="auto"/>
      </w:divBdr>
    </w:div>
    <w:div w:id="139004761">
      <w:bodyDiv w:val="1"/>
      <w:marLeft w:val="0"/>
      <w:marRight w:val="0"/>
      <w:marTop w:val="0"/>
      <w:marBottom w:val="0"/>
      <w:divBdr>
        <w:top w:val="none" w:sz="0" w:space="0" w:color="auto"/>
        <w:left w:val="none" w:sz="0" w:space="0" w:color="auto"/>
        <w:bottom w:val="none" w:sz="0" w:space="0" w:color="auto"/>
        <w:right w:val="none" w:sz="0" w:space="0" w:color="auto"/>
      </w:divBdr>
    </w:div>
    <w:div w:id="140738265">
      <w:bodyDiv w:val="1"/>
      <w:marLeft w:val="0"/>
      <w:marRight w:val="0"/>
      <w:marTop w:val="0"/>
      <w:marBottom w:val="0"/>
      <w:divBdr>
        <w:top w:val="none" w:sz="0" w:space="0" w:color="auto"/>
        <w:left w:val="none" w:sz="0" w:space="0" w:color="auto"/>
        <w:bottom w:val="none" w:sz="0" w:space="0" w:color="auto"/>
        <w:right w:val="none" w:sz="0" w:space="0" w:color="auto"/>
      </w:divBdr>
    </w:div>
    <w:div w:id="186064898">
      <w:bodyDiv w:val="1"/>
      <w:marLeft w:val="0"/>
      <w:marRight w:val="0"/>
      <w:marTop w:val="0"/>
      <w:marBottom w:val="0"/>
      <w:divBdr>
        <w:top w:val="none" w:sz="0" w:space="0" w:color="auto"/>
        <w:left w:val="none" w:sz="0" w:space="0" w:color="auto"/>
        <w:bottom w:val="none" w:sz="0" w:space="0" w:color="auto"/>
        <w:right w:val="none" w:sz="0" w:space="0" w:color="auto"/>
      </w:divBdr>
    </w:div>
    <w:div w:id="235167572">
      <w:bodyDiv w:val="1"/>
      <w:marLeft w:val="0"/>
      <w:marRight w:val="0"/>
      <w:marTop w:val="0"/>
      <w:marBottom w:val="0"/>
      <w:divBdr>
        <w:top w:val="none" w:sz="0" w:space="0" w:color="auto"/>
        <w:left w:val="none" w:sz="0" w:space="0" w:color="auto"/>
        <w:bottom w:val="none" w:sz="0" w:space="0" w:color="auto"/>
        <w:right w:val="none" w:sz="0" w:space="0" w:color="auto"/>
      </w:divBdr>
      <w:divsChild>
        <w:div w:id="1791631759">
          <w:marLeft w:val="0"/>
          <w:marRight w:val="0"/>
          <w:marTop w:val="0"/>
          <w:marBottom w:val="0"/>
          <w:divBdr>
            <w:top w:val="none" w:sz="0" w:space="0" w:color="auto"/>
            <w:left w:val="none" w:sz="0" w:space="0" w:color="auto"/>
            <w:bottom w:val="none" w:sz="0" w:space="0" w:color="auto"/>
            <w:right w:val="none" w:sz="0" w:space="0" w:color="auto"/>
          </w:divBdr>
          <w:divsChild>
            <w:div w:id="1642534876">
              <w:marLeft w:val="0"/>
              <w:marRight w:val="0"/>
              <w:marTop w:val="0"/>
              <w:marBottom w:val="0"/>
              <w:divBdr>
                <w:top w:val="none" w:sz="0" w:space="0" w:color="auto"/>
                <w:left w:val="none" w:sz="0" w:space="0" w:color="auto"/>
                <w:bottom w:val="none" w:sz="0" w:space="0" w:color="auto"/>
                <w:right w:val="none" w:sz="0" w:space="0" w:color="auto"/>
              </w:divBdr>
              <w:divsChild>
                <w:div w:id="13096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3292">
      <w:bodyDiv w:val="1"/>
      <w:marLeft w:val="0"/>
      <w:marRight w:val="0"/>
      <w:marTop w:val="0"/>
      <w:marBottom w:val="0"/>
      <w:divBdr>
        <w:top w:val="none" w:sz="0" w:space="0" w:color="auto"/>
        <w:left w:val="none" w:sz="0" w:space="0" w:color="auto"/>
        <w:bottom w:val="none" w:sz="0" w:space="0" w:color="auto"/>
        <w:right w:val="none" w:sz="0" w:space="0" w:color="auto"/>
      </w:divBdr>
    </w:div>
    <w:div w:id="422454951">
      <w:bodyDiv w:val="1"/>
      <w:marLeft w:val="0"/>
      <w:marRight w:val="0"/>
      <w:marTop w:val="0"/>
      <w:marBottom w:val="0"/>
      <w:divBdr>
        <w:top w:val="none" w:sz="0" w:space="0" w:color="auto"/>
        <w:left w:val="none" w:sz="0" w:space="0" w:color="auto"/>
        <w:bottom w:val="none" w:sz="0" w:space="0" w:color="auto"/>
        <w:right w:val="none" w:sz="0" w:space="0" w:color="auto"/>
      </w:divBdr>
    </w:div>
    <w:div w:id="551045496">
      <w:bodyDiv w:val="1"/>
      <w:marLeft w:val="0"/>
      <w:marRight w:val="0"/>
      <w:marTop w:val="0"/>
      <w:marBottom w:val="0"/>
      <w:divBdr>
        <w:top w:val="none" w:sz="0" w:space="0" w:color="auto"/>
        <w:left w:val="none" w:sz="0" w:space="0" w:color="auto"/>
        <w:bottom w:val="none" w:sz="0" w:space="0" w:color="auto"/>
        <w:right w:val="none" w:sz="0" w:space="0" w:color="auto"/>
      </w:divBdr>
    </w:div>
    <w:div w:id="846403039">
      <w:bodyDiv w:val="1"/>
      <w:marLeft w:val="0"/>
      <w:marRight w:val="0"/>
      <w:marTop w:val="0"/>
      <w:marBottom w:val="0"/>
      <w:divBdr>
        <w:top w:val="none" w:sz="0" w:space="0" w:color="auto"/>
        <w:left w:val="none" w:sz="0" w:space="0" w:color="auto"/>
        <w:bottom w:val="none" w:sz="0" w:space="0" w:color="auto"/>
        <w:right w:val="none" w:sz="0" w:space="0" w:color="auto"/>
      </w:divBdr>
    </w:div>
    <w:div w:id="915867289">
      <w:bodyDiv w:val="1"/>
      <w:marLeft w:val="0"/>
      <w:marRight w:val="0"/>
      <w:marTop w:val="0"/>
      <w:marBottom w:val="0"/>
      <w:divBdr>
        <w:top w:val="none" w:sz="0" w:space="0" w:color="auto"/>
        <w:left w:val="none" w:sz="0" w:space="0" w:color="auto"/>
        <w:bottom w:val="none" w:sz="0" w:space="0" w:color="auto"/>
        <w:right w:val="none" w:sz="0" w:space="0" w:color="auto"/>
      </w:divBdr>
    </w:div>
    <w:div w:id="938173629">
      <w:bodyDiv w:val="1"/>
      <w:marLeft w:val="0"/>
      <w:marRight w:val="0"/>
      <w:marTop w:val="0"/>
      <w:marBottom w:val="0"/>
      <w:divBdr>
        <w:top w:val="none" w:sz="0" w:space="0" w:color="auto"/>
        <w:left w:val="none" w:sz="0" w:space="0" w:color="auto"/>
        <w:bottom w:val="none" w:sz="0" w:space="0" w:color="auto"/>
        <w:right w:val="none" w:sz="0" w:space="0" w:color="auto"/>
      </w:divBdr>
    </w:div>
    <w:div w:id="1220240132">
      <w:bodyDiv w:val="1"/>
      <w:marLeft w:val="0"/>
      <w:marRight w:val="0"/>
      <w:marTop w:val="0"/>
      <w:marBottom w:val="0"/>
      <w:divBdr>
        <w:top w:val="none" w:sz="0" w:space="0" w:color="auto"/>
        <w:left w:val="none" w:sz="0" w:space="0" w:color="auto"/>
        <w:bottom w:val="none" w:sz="0" w:space="0" w:color="auto"/>
        <w:right w:val="none" w:sz="0" w:space="0" w:color="auto"/>
      </w:divBdr>
    </w:div>
    <w:div w:id="1520435374">
      <w:bodyDiv w:val="1"/>
      <w:marLeft w:val="0"/>
      <w:marRight w:val="0"/>
      <w:marTop w:val="0"/>
      <w:marBottom w:val="0"/>
      <w:divBdr>
        <w:top w:val="none" w:sz="0" w:space="0" w:color="auto"/>
        <w:left w:val="none" w:sz="0" w:space="0" w:color="auto"/>
        <w:bottom w:val="none" w:sz="0" w:space="0" w:color="auto"/>
        <w:right w:val="none" w:sz="0" w:space="0" w:color="auto"/>
      </w:divBdr>
    </w:div>
    <w:div w:id="1548031477">
      <w:bodyDiv w:val="1"/>
      <w:marLeft w:val="0"/>
      <w:marRight w:val="0"/>
      <w:marTop w:val="0"/>
      <w:marBottom w:val="0"/>
      <w:divBdr>
        <w:top w:val="none" w:sz="0" w:space="0" w:color="auto"/>
        <w:left w:val="none" w:sz="0" w:space="0" w:color="auto"/>
        <w:bottom w:val="none" w:sz="0" w:space="0" w:color="auto"/>
        <w:right w:val="none" w:sz="0" w:space="0" w:color="auto"/>
      </w:divBdr>
    </w:div>
    <w:div w:id="1625040569">
      <w:bodyDiv w:val="1"/>
      <w:marLeft w:val="0"/>
      <w:marRight w:val="0"/>
      <w:marTop w:val="0"/>
      <w:marBottom w:val="0"/>
      <w:divBdr>
        <w:top w:val="none" w:sz="0" w:space="0" w:color="auto"/>
        <w:left w:val="none" w:sz="0" w:space="0" w:color="auto"/>
        <w:bottom w:val="none" w:sz="0" w:space="0" w:color="auto"/>
        <w:right w:val="none" w:sz="0" w:space="0" w:color="auto"/>
      </w:divBdr>
    </w:div>
    <w:div w:id="1737630334">
      <w:bodyDiv w:val="1"/>
      <w:marLeft w:val="0"/>
      <w:marRight w:val="0"/>
      <w:marTop w:val="0"/>
      <w:marBottom w:val="0"/>
      <w:divBdr>
        <w:top w:val="none" w:sz="0" w:space="0" w:color="auto"/>
        <w:left w:val="none" w:sz="0" w:space="0" w:color="auto"/>
        <w:bottom w:val="none" w:sz="0" w:space="0" w:color="auto"/>
        <w:right w:val="none" w:sz="0" w:space="0" w:color="auto"/>
      </w:divBdr>
    </w:div>
    <w:div w:id="1785997186">
      <w:bodyDiv w:val="1"/>
      <w:marLeft w:val="0"/>
      <w:marRight w:val="0"/>
      <w:marTop w:val="0"/>
      <w:marBottom w:val="0"/>
      <w:divBdr>
        <w:top w:val="none" w:sz="0" w:space="0" w:color="auto"/>
        <w:left w:val="none" w:sz="0" w:space="0" w:color="auto"/>
        <w:bottom w:val="none" w:sz="0" w:space="0" w:color="auto"/>
        <w:right w:val="none" w:sz="0" w:space="0" w:color="auto"/>
      </w:divBdr>
    </w:div>
    <w:div w:id="1861968358">
      <w:bodyDiv w:val="1"/>
      <w:marLeft w:val="0"/>
      <w:marRight w:val="0"/>
      <w:marTop w:val="0"/>
      <w:marBottom w:val="0"/>
      <w:divBdr>
        <w:top w:val="none" w:sz="0" w:space="0" w:color="auto"/>
        <w:left w:val="none" w:sz="0" w:space="0" w:color="auto"/>
        <w:bottom w:val="none" w:sz="0" w:space="0" w:color="auto"/>
        <w:right w:val="none" w:sz="0" w:space="0" w:color="auto"/>
      </w:divBdr>
    </w:div>
    <w:div w:id="1997218605">
      <w:bodyDiv w:val="1"/>
      <w:marLeft w:val="0"/>
      <w:marRight w:val="0"/>
      <w:marTop w:val="0"/>
      <w:marBottom w:val="0"/>
      <w:divBdr>
        <w:top w:val="none" w:sz="0" w:space="0" w:color="auto"/>
        <w:left w:val="none" w:sz="0" w:space="0" w:color="auto"/>
        <w:bottom w:val="none" w:sz="0" w:space="0" w:color="auto"/>
        <w:right w:val="none" w:sz="0" w:space="0" w:color="auto"/>
      </w:divBdr>
    </w:div>
    <w:div w:id="207554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hyperlink" Target="https://www.gov.uk/government/publications/wuhan-novel-coronavirus-background-information/wuhan-novel-coronavirus-epidemiology-virology-and-clinical-features" TargetMode="External"/><Relationship Id="rId16" Type="http://schemas.openxmlformats.org/officeDocument/2006/relationships/oleObject" Target="embeddings/oleObject3.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50.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oleObject" Target="embeddings/oleObject31.bin"/><Relationship Id="rId113" Type="http://schemas.openxmlformats.org/officeDocument/2006/relationships/footer" Target="footer1.xml"/><Relationship Id="rId80" Type="http://schemas.openxmlformats.org/officeDocument/2006/relationships/image" Target="media/image36.wmf"/><Relationship Id="rId85" Type="http://schemas.openxmlformats.org/officeDocument/2006/relationships/oleObject" Target="embeddings/oleObject40.bin"/><Relationship Id="rId12" Type="http://schemas.openxmlformats.org/officeDocument/2006/relationships/oleObject" Target="embeddings/oleObject1.bin"/><Relationship Id="rId17"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6.png"/><Relationship Id="rId108" Type="http://schemas.openxmlformats.org/officeDocument/2006/relationships/image" Target="media/image49.emf"/><Relationship Id="rId54" Type="http://schemas.openxmlformats.org/officeDocument/2006/relationships/oleObject" Target="embeddings/oleObject23.bin"/><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6.wmf"/><Relationship Id="rId106" Type="http://schemas.openxmlformats.org/officeDocument/2006/relationships/image" Target="media/image48.wmf"/><Relationship Id="rId114" Type="http://schemas.openxmlformats.org/officeDocument/2006/relationships/footer" Target="footer2.xml"/><Relationship Id="rId10" Type="http://schemas.openxmlformats.org/officeDocument/2006/relationships/image" Target="media/image3.e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image" Target="media/image50.e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7.png"/><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1.bin"/><Relationship Id="rId110" Type="http://schemas.openxmlformats.org/officeDocument/2006/relationships/image" Target="media/image51.emf"/><Relationship Id="rId115"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image" Target="media/image37.wmf"/><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oleObject" Target="embeddings/oleObject51.bin"/><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5.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image" Target="media/image5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E182-6AC0-4CE9-8A68-95736D05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46</Pages>
  <Words>11837</Words>
  <Characters>67475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Zhi</dc:creator>
  <cp:keywords/>
  <dc:description/>
  <cp:lastModifiedBy>Arvind Upadhyay</cp:lastModifiedBy>
  <cp:revision>15</cp:revision>
  <dcterms:created xsi:type="dcterms:W3CDTF">2022-04-21T08:56:00Z</dcterms:created>
  <dcterms:modified xsi:type="dcterms:W3CDTF">2022-04-21T10:08:00Z</dcterms:modified>
</cp:coreProperties>
</file>