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74B8F" w14:textId="77777777" w:rsidR="00BE6D95" w:rsidRDefault="00BE6D95">
      <w:pPr>
        <w:rPr>
          <w:b/>
          <w:bCs w:val="0"/>
        </w:rPr>
      </w:pPr>
      <w:r>
        <w:rPr>
          <w:b/>
          <w:bCs w:val="0"/>
        </w:rPr>
        <w:t>Chapter title</w:t>
      </w:r>
    </w:p>
    <w:p w14:paraId="0C941F1F" w14:textId="706DAF9D" w:rsidR="005D6A29" w:rsidRPr="00107E76" w:rsidRDefault="009C103A">
      <w:pPr>
        <w:rPr>
          <w:sz w:val="28"/>
          <w:szCs w:val="28"/>
        </w:rPr>
      </w:pPr>
      <w:r>
        <w:rPr>
          <w:sz w:val="28"/>
          <w:szCs w:val="28"/>
        </w:rPr>
        <w:t>Compliance</w:t>
      </w:r>
    </w:p>
    <w:p w14:paraId="7AA6D920" w14:textId="6DE4901E" w:rsidR="00AA461D" w:rsidRDefault="00AA461D"/>
    <w:p w14:paraId="5D75F658" w14:textId="5677BC3C" w:rsidR="00BE6D95" w:rsidRPr="00BE6D95" w:rsidRDefault="00BE6D95">
      <w:pPr>
        <w:rPr>
          <w:b/>
          <w:bCs w:val="0"/>
        </w:rPr>
      </w:pPr>
      <w:r w:rsidRPr="00BE6D95">
        <w:rPr>
          <w:b/>
          <w:bCs w:val="0"/>
        </w:rPr>
        <w:t>Affiliation</w:t>
      </w:r>
    </w:p>
    <w:p w14:paraId="7479B386" w14:textId="4E227EE8" w:rsidR="00AA461D" w:rsidRDefault="00AA461D">
      <w:r>
        <w:t>Associate Professor Dr Nirmala Lee</w:t>
      </w:r>
    </w:p>
    <w:p w14:paraId="621E74E2" w14:textId="66832A25" w:rsidR="00AA461D" w:rsidRDefault="00AA461D" w:rsidP="00AA461D">
      <w:r>
        <w:t>Guildhall School of Business &amp; Law</w:t>
      </w:r>
    </w:p>
    <w:p w14:paraId="23BCE140" w14:textId="77777777" w:rsidR="00AA461D" w:rsidRDefault="00AA461D" w:rsidP="00AA461D">
      <w:r>
        <w:t xml:space="preserve">London Metropolitan University </w:t>
      </w:r>
    </w:p>
    <w:p w14:paraId="545BD6FA" w14:textId="77777777" w:rsidR="00AA461D" w:rsidRDefault="00AA461D" w:rsidP="00AA461D">
      <w:r>
        <w:t xml:space="preserve">166-220 Holloway Road </w:t>
      </w:r>
    </w:p>
    <w:p w14:paraId="2B4BB9A8" w14:textId="77777777" w:rsidR="00AA461D" w:rsidRDefault="00AA461D" w:rsidP="00AA461D">
      <w:r>
        <w:t>London N7 8DB</w:t>
      </w:r>
    </w:p>
    <w:p w14:paraId="3A8E98BD" w14:textId="77777777" w:rsidR="00AA461D" w:rsidRDefault="00AA461D" w:rsidP="00AA461D">
      <w:r>
        <w:t>United Kingdom</w:t>
      </w:r>
    </w:p>
    <w:p w14:paraId="3EE483E0" w14:textId="4FB9834B" w:rsidR="00AA15EA" w:rsidRDefault="00AA461D">
      <w:r>
        <w:t>n.lee@londonmet.ac.uk</w:t>
      </w:r>
    </w:p>
    <w:p w14:paraId="263E18D7" w14:textId="1C026718" w:rsidR="00AA461D" w:rsidRDefault="00AA461D"/>
    <w:p w14:paraId="1A1B33AC" w14:textId="60A1A404" w:rsidR="008B3591" w:rsidRPr="008B3591" w:rsidRDefault="00AD32D7">
      <w:pPr>
        <w:rPr>
          <w:b/>
          <w:bCs w:val="0"/>
        </w:rPr>
      </w:pPr>
      <w:bookmarkStart w:id="0" w:name="_Hlk17908743"/>
      <w:r>
        <w:rPr>
          <w:b/>
          <w:bCs w:val="0"/>
        </w:rPr>
        <w:t>Definition</w:t>
      </w:r>
      <w:r w:rsidR="00AE4A6E">
        <w:rPr>
          <w:b/>
          <w:bCs w:val="0"/>
        </w:rPr>
        <w:t>s</w:t>
      </w:r>
      <w:r>
        <w:rPr>
          <w:b/>
          <w:bCs w:val="0"/>
        </w:rPr>
        <w:t xml:space="preserve"> and Introduction</w:t>
      </w:r>
    </w:p>
    <w:bookmarkEnd w:id="0"/>
    <w:p w14:paraId="04D4084F" w14:textId="1B87F8B5" w:rsidR="009C103A" w:rsidRDefault="001F5501" w:rsidP="009C103A">
      <w:r>
        <w:t xml:space="preserve">The </w:t>
      </w:r>
      <w:r w:rsidR="00852AEC">
        <w:t>term</w:t>
      </w:r>
      <w:r>
        <w:t xml:space="preserve"> ‘</w:t>
      </w:r>
      <w:r w:rsidR="009C103A">
        <w:t>comply</w:t>
      </w:r>
      <w:r>
        <w:t xml:space="preserve">’ is derived from </w:t>
      </w:r>
      <w:r w:rsidR="00852AEC">
        <w:t xml:space="preserve">the verb </w:t>
      </w:r>
      <w:r w:rsidR="002C3F4C">
        <w:t>c</w:t>
      </w:r>
      <w:r w:rsidR="009C103A" w:rsidRPr="009C103A">
        <w:t>omply early 14c., "to fulfill, carry out" from Old French compli, past participle of complir "to accomplish, fulfill, carry out"</w:t>
      </w:r>
      <w:r w:rsidR="009C103A">
        <w:t xml:space="preserve"> </w:t>
      </w:r>
      <w:r w:rsidR="009C103A" w:rsidRPr="009C103A">
        <w:t>from Vulgar Latin complire, from Latin complere "to fill up“</w:t>
      </w:r>
      <w:r w:rsidR="009C103A">
        <w:t>.  The s</w:t>
      </w:r>
      <w:r w:rsidR="009C103A" w:rsidRPr="009C103A">
        <w:t>ense of "to consent" began c.1600</w:t>
      </w:r>
      <w:r w:rsidR="009C103A">
        <w:t xml:space="preserve">.  </w:t>
      </w:r>
      <w:r w:rsidR="009C103A" w:rsidRPr="009C103A">
        <w:t>Compliance (n) from comply+ance</w:t>
      </w:r>
      <w:r w:rsidR="002C3F4C">
        <w:t xml:space="preserve"> dates from the </w:t>
      </w:r>
      <w:r w:rsidR="002C3F4C" w:rsidRPr="002C3F4C">
        <w:t>1640s</w:t>
      </w:r>
      <w:r w:rsidR="002C3F4C">
        <w:t>.</w:t>
      </w:r>
      <w:r w:rsidR="003D78ED">
        <w:t xml:space="preserve">  C</w:t>
      </w:r>
      <w:r w:rsidR="003D78ED" w:rsidRPr="003D78ED">
        <w:t xml:space="preserve">ompliance </w:t>
      </w:r>
      <w:r w:rsidR="003D78ED">
        <w:t>can be defined as</w:t>
      </w:r>
      <w:r w:rsidR="003D78ED" w:rsidRPr="003D78ED">
        <w:t xml:space="preserve"> </w:t>
      </w:r>
      <w:r w:rsidR="003D78ED">
        <w:t>“</w:t>
      </w:r>
      <w:r w:rsidR="003D78ED" w:rsidRPr="003D78ED">
        <w:t>the function of identifying relevant legislative, regulatory and best practice requirements and implementing the necessary arrangements, systems and controls so as to facilitate adherence to these obligations”</w:t>
      </w:r>
      <w:r w:rsidR="003D78ED">
        <w:t xml:space="preserve"> (</w:t>
      </w:r>
      <w:r w:rsidR="003D78ED" w:rsidRPr="003D78ED">
        <w:t>Mills and Haines</w:t>
      </w:r>
      <w:r w:rsidR="003D78ED">
        <w:t>,</w:t>
      </w:r>
      <w:r w:rsidR="003D78ED" w:rsidRPr="003D78ED">
        <w:t xml:space="preserve"> 2015:18).</w:t>
      </w:r>
    </w:p>
    <w:p w14:paraId="4A5CFF76" w14:textId="6CC1252F" w:rsidR="006769C1" w:rsidRDefault="006769C1" w:rsidP="009C103A"/>
    <w:p w14:paraId="0953732B" w14:textId="5C161E7A" w:rsidR="00BE6D95" w:rsidRDefault="00BE6D95" w:rsidP="00BE6D95">
      <w:pPr>
        <w:rPr>
          <w:b/>
          <w:bCs w:val="0"/>
        </w:rPr>
      </w:pPr>
      <w:r w:rsidRPr="00BE6D95">
        <w:rPr>
          <w:b/>
          <w:bCs w:val="0"/>
        </w:rPr>
        <w:t>Synonyms</w:t>
      </w:r>
    </w:p>
    <w:p w14:paraId="20212FC1" w14:textId="7FDB224D" w:rsidR="00CF0B4F" w:rsidRDefault="00677F04" w:rsidP="00677F04">
      <w:r>
        <w:t>Compliance</w:t>
      </w:r>
      <w:r w:rsidR="00AD7B7C" w:rsidRPr="00AD7B7C">
        <w:t xml:space="preserve"> </w:t>
      </w:r>
      <w:r w:rsidR="00AD7B7C">
        <w:t>is syno</w:t>
      </w:r>
      <w:r>
        <w:t>ny</w:t>
      </w:r>
      <w:r w:rsidR="00AD7B7C">
        <w:t xml:space="preserve">mous with </w:t>
      </w:r>
      <w:r>
        <w:t>the terms conformity, consent, acquiescence, assent</w:t>
      </w:r>
      <w:r w:rsidR="003D78ED">
        <w:t xml:space="preserve">, </w:t>
      </w:r>
      <w:r>
        <w:t>concurrence</w:t>
      </w:r>
      <w:r w:rsidR="00746E40">
        <w:t xml:space="preserve"> and o</w:t>
      </w:r>
      <w:r>
        <w:t>bservance</w:t>
      </w:r>
      <w:r w:rsidR="003D78ED">
        <w:t>, and is used in association with rules, regulations, conventions, practice or custom which would need to be complied with.</w:t>
      </w:r>
    </w:p>
    <w:p w14:paraId="14BFF3B0" w14:textId="22F46967" w:rsidR="005307D9" w:rsidRDefault="005307D9" w:rsidP="00677F04"/>
    <w:p w14:paraId="6BA33171" w14:textId="156507D9" w:rsidR="002C3F4C" w:rsidRDefault="002C3F4C" w:rsidP="00E75722">
      <w:pPr>
        <w:rPr>
          <w:b/>
          <w:bCs w:val="0"/>
        </w:rPr>
      </w:pPr>
      <w:bookmarkStart w:id="1" w:name="_Hlk17921873"/>
      <w:r>
        <w:rPr>
          <w:b/>
          <w:bCs w:val="0"/>
        </w:rPr>
        <w:t xml:space="preserve">The </w:t>
      </w:r>
      <w:r w:rsidR="00241EB2">
        <w:rPr>
          <w:b/>
          <w:bCs w:val="0"/>
        </w:rPr>
        <w:t>debate about the need for</w:t>
      </w:r>
      <w:r>
        <w:rPr>
          <w:b/>
          <w:bCs w:val="0"/>
        </w:rPr>
        <w:t xml:space="preserve"> regulatory compliance</w:t>
      </w:r>
    </w:p>
    <w:p w14:paraId="11ACE0CA" w14:textId="302AB61E" w:rsidR="00E567E4" w:rsidRDefault="00E567E4" w:rsidP="002C3F4C">
      <w:r w:rsidRPr="00E567E4">
        <w:t>There is no consensus about the necessity</w:t>
      </w:r>
      <w:r>
        <w:t xml:space="preserve"> of regulation and compliance (</w:t>
      </w:r>
      <w:r w:rsidRPr="00E567E4">
        <w:t>Dragomir, 2012</w:t>
      </w:r>
      <w:r>
        <w:t xml:space="preserve">), and </w:t>
      </w:r>
      <w:r w:rsidR="00746E40">
        <w:t>this is considered to be</w:t>
      </w:r>
      <w:r w:rsidR="002C3F4C" w:rsidRPr="002C3F4C">
        <w:t xml:space="preserve"> </w:t>
      </w:r>
      <w:r w:rsidR="00746E40">
        <w:t>“</w:t>
      </w:r>
      <w:r w:rsidR="002C3F4C" w:rsidRPr="002C3F4C">
        <w:t>heavily contested intellectual territory” (Davies, 2008:12)</w:t>
      </w:r>
      <w:r>
        <w:t xml:space="preserve">.  </w:t>
      </w:r>
      <w:r w:rsidR="002C3F4C" w:rsidRPr="002C3F4C">
        <w:t>Arguments range from rigid state control to no regulation</w:t>
      </w:r>
      <w:r>
        <w:t>.  On the one hand there is a view that f</w:t>
      </w:r>
      <w:r w:rsidR="002C3F4C" w:rsidRPr="002C3F4C">
        <w:t xml:space="preserve">ree markets, left to themselves, do not always deliver the optimal good to society, and that when employment stagnated, government </w:t>
      </w:r>
      <w:r w:rsidRPr="002C3F4C">
        <w:t>must</w:t>
      </w:r>
      <w:r w:rsidR="002C3F4C" w:rsidRPr="002C3F4C">
        <w:t xml:space="preserve"> step in (Keynes, 1936)</w:t>
      </w:r>
      <w:r>
        <w:t>.  On the other hand, regulation can</w:t>
      </w:r>
      <w:r w:rsidR="00847130">
        <w:t xml:space="preserve"> be</w:t>
      </w:r>
      <w:r>
        <w:t xml:space="preserve"> </w:t>
      </w:r>
      <w:r w:rsidR="00241EB2">
        <w:t>found to be</w:t>
      </w:r>
      <w:r>
        <w:t xml:space="preserve"> </w:t>
      </w:r>
      <w:r w:rsidR="002C3F4C" w:rsidRPr="002C3F4C">
        <w:t>too detailed and intrusive</w:t>
      </w:r>
      <w:r w:rsidR="00847130">
        <w:t xml:space="preserve">.  </w:t>
      </w:r>
      <w:r w:rsidR="00241EB2">
        <w:t>There may be o</w:t>
      </w:r>
      <w:r w:rsidR="00241EB2" w:rsidRPr="00241EB2">
        <w:t xml:space="preserve">ver-demand from consumers who perceive regulation as a free good, and oversupply by the regulator who is risk averse </w:t>
      </w:r>
      <w:r w:rsidR="00847130">
        <w:t>(</w:t>
      </w:r>
      <w:r w:rsidR="00241EB2" w:rsidRPr="00241EB2">
        <w:t>Goodhart et al, 1998)</w:t>
      </w:r>
      <w:r w:rsidR="00847130">
        <w:t xml:space="preserve">.  </w:t>
      </w:r>
      <w:r w:rsidR="00241EB2">
        <w:t xml:space="preserve">There is also </w:t>
      </w:r>
      <w:r w:rsidR="000F193A">
        <w:t xml:space="preserve">the moral hazard of </w:t>
      </w:r>
      <w:r w:rsidR="00746E40">
        <w:t>the</w:t>
      </w:r>
      <w:r w:rsidR="00241EB2">
        <w:t xml:space="preserve"> </w:t>
      </w:r>
      <w:r w:rsidR="00241EB2" w:rsidRPr="00241EB2">
        <w:t>assumption that if something is not covered by regulation it does not have a regulatory dimension</w:t>
      </w:r>
      <w:r w:rsidR="00241EB2">
        <w:t xml:space="preserve">, and </w:t>
      </w:r>
      <w:r w:rsidR="00241EB2" w:rsidRPr="00241EB2">
        <w:t>that care</w:t>
      </w:r>
      <w:r w:rsidR="00852AEC">
        <w:t>/compliance</w:t>
      </w:r>
      <w:r w:rsidR="00241EB2" w:rsidRPr="00241EB2">
        <w:t xml:space="preserve"> is not needed </w:t>
      </w:r>
      <w:r w:rsidR="00241EB2">
        <w:t xml:space="preserve">There is some consensus for the view </w:t>
      </w:r>
      <w:r w:rsidR="00BB240A">
        <w:t>that “</w:t>
      </w:r>
      <w:r w:rsidR="00241EB2">
        <w:t>r</w:t>
      </w:r>
      <w:r w:rsidR="002C3F4C" w:rsidRPr="002C3F4C">
        <w:t>egulation approved in a crisis must be subsequently fine-tuned” (Greenspan, 2007:374</w:t>
      </w:r>
      <w:r w:rsidR="003D78ED">
        <w:t>).</w:t>
      </w:r>
      <w:r w:rsidR="00746E40">
        <w:t xml:space="preserve"> </w:t>
      </w:r>
      <w:r w:rsidR="00746E40" w:rsidRPr="00746E40">
        <w:t xml:space="preserve">In the context of the </w:t>
      </w:r>
      <w:r w:rsidR="001008A5">
        <w:t>rising</w:t>
      </w:r>
      <w:r w:rsidR="00746E40" w:rsidRPr="00746E40">
        <w:t xml:space="preserve"> consciousness of </w:t>
      </w:r>
      <w:r w:rsidR="001008A5">
        <w:t xml:space="preserve">the need for </w:t>
      </w:r>
      <w:r w:rsidR="00746E40" w:rsidRPr="00746E40">
        <w:t>corporate sustainability, from both environmental and social contexts,</w:t>
      </w:r>
      <w:r w:rsidR="00746E40">
        <w:t xml:space="preserve"> there are increas</w:t>
      </w:r>
      <w:r w:rsidR="001008A5">
        <w:t>ing</w:t>
      </w:r>
      <w:r w:rsidR="00746E40">
        <w:t xml:space="preserve"> calls</w:t>
      </w:r>
      <w:r w:rsidR="001008A5">
        <w:t xml:space="preserve"> being made</w:t>
      </w:r>
      <w:r w:rsidR="00746E40">
        <w:t xml:space="preserve"> for compliance with sustainability standards.</w:t>
      </w:r>
    </w:p>
    <w:p w14:paraId="7F8FE0BE" w14:textId="77777777" w:rsidR="00E567E4" w:rsidRDefault="00E567E4" w:rsidP="002C3F4C"/>
    <w:bookmarkEnd w:id="1"/>
    <w:p w14:paraId="0045F737" w14:textId="4AED30A3" w:rsidR="007B3095" w:rsidRPr="00716354" w:rsidRDefault="001D6F56" w:rsidP="007B3095">
      <w:pPr>
        <w:rPr>
          <w:b/>
          <w:bCs w:val="0"/>
        </w:rPr>
      </w:pPr>
      <w:r>
        <w:rPr>
          <w:b/>
          <w:bCs w:val="0"/>
        </w:rPr>
        <w:t>Compliance</w:t>
      </w:r>
      <w:r w:rsidR="007B3095" w:rsidRPr="00716354">
        <w:rPr>
          <w:b/>
          <w:bCs w:val="0"/>
        </w:rPr>
        <w:t xml:space="preserve"> and </w:t>
      </w:r>
      <w:r w:rsidR="001008A5">
        <w:rPr>
          <w:b/>
          <w:bCs w:val="0"/>
        </w:rPr>
        <w:t xml:space="preserve">Innovation in relation to </w:t>
      </w:r>
      <w:r w:rsidR="007B3095">
        <w:rPr>
          <w:b/>
          <w:bCs w:val="0"/>
        </w:rPr>
        <w:t>Sustainability</w:t>
      </w:r>
    </w:p>
    <w:p w14:paraId="550005A7" w14:textId="77777777" w:rsidR="00506C59" w:rsidRDefault="00826355" w:rsidP="00F26921">
      <w:r>
        <w:t>Sustainability is broadly defined as an organization's ability to balance short-term and long-term needs of stakeholders (direct and indirect) through the sale of value-adding goods and services, which are produced in line with the earth's carrying capacity, and exert a maximum positive social impact (Nidumolu et al., 2009; Porter and Van Der Linde, 1995)</w:t>
      </w:r>
      <w:r w:rsidR="00F26921">
        <w:t xml:space="preserve">.  </w:t>
      </w:r>
      <w:r w:rsidR="00506C59" w:rsidRPr="00506C59">
        <w:t>Challenges are faced by companies when they seek to ensure compliance with corporate sustainability standards.  They would need to examine their practices in the light of compliance standards and take corrective action as required (Grimm et al, 2016).</w:t>
      </w:r>
    </w:p>
    <w:p w14:paraId="15BA58AA" w14:textId="77777777" w:rsidR="00506C59" w:rsidRDefault="00506C59" w:rsidP="00F26921"/>
    <w:p w14:paraId="23BD0B94" w14:textId="62CFAD2C" w:rsidR="002345F2" w:rsidRDefault="00B149F5" w:rsidP="00BE6D95">
      <w:r>
        <w:t xml:space="preserve">Firstly, </w:t>
      </w:r>
      <w:r w:rsidRPr="00B149F5">
        <w:t>in the context of sustainability</w:t>
      </w:r>
      <w:r w:rsidR="002345F2">
        <w:t>,</w:t>
      </w:r>
      <w:r w:rsidRPr="00B149F5">
        <w:t xml:space="preserve"> </w:t>
      </w:r>
      <w:r>
        <w:t xml:space="preserve">compliance </w:t>
      </w:r>
      <w:r w:rsidRPr="00B149F5">
        <w:t xml:space="preserve">relates to certifiable management systems in </w:t>
      </w:r>
      <w:r>
        <w:t xml:space="preserve">various </w:t>
      </w:r>
      <w:r w:rsidR="00BA77FD">
        <w:t>areas</w:t>
      </w:r>
      <w:r>
        <w:t xml:space="preserve"> such as</w:t>
      </w:r>
      <w:r w:rsidRPr="00B149F5">
        <w:t xml:space="preserve"> quality, health, safety, and environment.</w:t>
      </w:r>
      <w:r>
        <w:t xml:space="preserve">  For example, </w:t>
      </w:r>
      <w:r w:rsidR="002345F2">
        <w:t>‘</w:t>
      </w:r>
      <w:r>
        <w:t>s</w:t>
      </w:r>
      <w:r w:rsidRPr="00B149F5">
        <w:t>ustainability management accounting and control</w:t>
      </w:r>
      <w:r w:rsidR="002345F2">
        <w:t>’</w:t>
      </w:r>
      <w:r>
        <w:t xml:space="preserve"> </w:t>
      </w:r>
      <w:r w:rsidR="002345F2">
        <w:t xml:space="preserve">envisages the inclusion of </w:t>
      </w:r>
      <w:r w:rsidR="002345F2" w:rsidRPr="002345F2">
        <w:t xml:space="preserve">social and environmental measures, in addition to </w:t>
      </w:r>
      <w:r w:rsidR="002345F2">
        <w:t xml:space="preserve">the </w:t>
      </w:r>
      <w:r w:rsidR="002345F2" w:rsidRPr="002345F2">
        <w:t xml:space="preserve">conventional </w:t>
      </w:r>
      <w:r w:rsidR="002345F2">
        <w:t>focus on financial</w:t>
      </w:r>
      <w:r w:rsidR="002345F2" w:rsidRPr="002345F2">
        <w:t xml:space="preserve"> outcomes.</w:t>
      </w:r>
      <w:r w:rsidR="002345F2">
        <w:t xml:space="preserve">  </w:t>
      </w:r>
      <w:r w:rsidR="001008A5">
        <w:t>E</w:t>
      </w:r>
      <w:r w:rsidR="00F26921">
        <w:t xml:space="preserve">nvironmental quality and economic growth </w:t>
      </w:r>
      <w:r w:rsidR="001008A5">
        <w:t xml:space="preserve">were viewed </w:t>
      </w:r>
      <w:r w:rsidR="00F26921">
        <w:t xml:space="preserve">as </w:t>
      </w:r>
      <w:r w:rsidR="00F26921" w:rsidRPr="00F26921">
        <w:t>trade-off</w:t>
      </w:r>
      <w:r w:rsidR="00506C59">
        <w:t>s</w:t>
      </w:r>
      <w:r w:rsidR="001008A5">
        <w:t>, but this view is rapidly changing</w:t>
      </w:r>
      <w:r w:rsidR="00F26921" w:rsidRPr="00F26921">
        <w:t xml:space="preserve"> </w:t>
      </w:r>
      <w:r w:rsidR="00F26921">
        <w:t xml:space="preserve">to </w:t>
      </w:r>
      <w:r w:rsidR="001008A5">
        <w:t xml:space="preserve">one of </w:t>
      </w:r>
      <w:r w:rsidR="00F26921">
        <w:t>identifying  simultaneous targets for growth, sustainability and societal development (Ambec et al., 2013; Porter and Van der Linde, 1995).</w:t>
      </w:r>
      <w:r w:rsidR="00506C59">
        <w:t xml:space="preserve">  </w:t>
      </w:r>
    </w:p>
    <w:p w14:paraId="7A0AB850" w14:textId="77777777" w:rsidR="002345F2" w:rsidRDefault="002345F2" w:rsidP="00BE6D95"/>
    <w:p w14:paraId="1AFAA4CE" w14:textId="03E89E79" w:rsidR="00B70697" w:rsidRDefault="002345F2" w:rsidP="00BE6D95">
      <w:r>
        <w:t xml:space="preserve">Secondly, </w:t>
      </w:r>
      <w:r w:rsidRPr="002345F2">
        <w:t>in the context of sustainability</w:t>
      </w:r>
      <w:r>
        <w:t>, compliance also</w:t>
      </w:r>
      <w:r w:rsidRPr="002345F2">
        <w:t xml:space="preserve"> relates to corporate governance, specifically corporate governance codes, where companies and executives are asked to 'comply or </w:t>
      </w:r>
      <w:r w:rsidRPr="002345F2">
        <w:lastRenderedPageBreak/>
        <w:t>explain'</w:t>
      </w:r>
      <w:r>
        <w:t>:</w:t>
      </w:r>
      <w:r w:rsidRPr="002345F2">
        <w:t xml:space="preserve"> comply with such codes or explain why they do not.</w:t>
      </w:r>
      <w:r>
        <w:t xml:space="preserve">  </w:t>
      </w:r>
      <w:r w:rsidR="001008A5" w:rsidRPr="001008A5">
        <w:t xml:space="preserve">Doyle et al (2019) </w:t>
      </w:r>
      <w:r w:rsidR="001008A5">
        <w:t xml:space="preserve">explore </w:t>
      </w:r>
      <w:r w:rsidR="001008A5" w:rsidRPr="001008A5">
        <w:t xml:space="preserve">the link between Governance, Risk and Compliance (GRC) and innovation </w:t>
      </w:r>
      <w:r w:rsidR="001008A5">
        <w:t>i</w:t>
      </w:r>
      <w:r w:rsidR="001008A5" w:rsidRPr="001008A5">
        <w:t>n th</w:t>
      </w:r>
      <w:r w:rsidR="001008A5">
        <w:t>e</w:t>
      </w:r>
      <w:r w:rsidR="001008A5" w:rsidRPr="001008A5">
        <w:t xml:space="preserve"> context</w:t>
      </w:r>
      <w:r w:rsidR="001008A5">
        <w:t xml:space="preserve"> of sustainability; they </w:t>
      </w:r>
      <w:r w:rsidR="00826355">
        <w:t>propose a practice-based</w:t>
      </w:r>
      <w:r w:rsidR="001008A5">
        <w:t xml:space="preserve"> </w:t>
      </w:r>
      <w:r w:rsidR="00826355">
        <w:t xml:space="preserve">concept of Compliance-Innovation and set out its significance for sustainability. The concept </w:t>
      </w:r>
      <w:r w:rsidR="00506C59">
        <w:t>envisages</w:t>
      </w:r>
      <w:r w:rsidR="00826355">
        <w:t xml:space="preserve"> the central role of knowledge integration across business domains as the</w:t>
      </w:r>
      <w:r w:rsidR="00506C59">
        <w:t xml:space="preserve"> </w:t>
      </w:r>
      <w:r w:rsidR="00826355">
        <w:t xml:space="preserve">basis of modern competitive advantage. </w:t>
      </w:r>
      <w:r w:rsidR="00506C59">
        <w:t>They</w:t>
      </w:r>
      <w:r w:rsidR="00826355">
        <w:t xml:space="preserve"> outline how the integration</w:t>
      </w:r>
      <w:r w:rsidR="00506C59">
        <w:t xml:space="preserve"> </w:t>
      </w:r>
      <w:r w:rsidR="00826355">
        <w:t xml:space="preserve">of GRC and innovation domains drive commercial exploitation for </w:t>
      </w:r>
      <w:r w:rsidR="00506C59">
        <w:t xml:space="preserve">both </w:t>
      </w:r>
      <w:r w:rsidR="00826355">
        <w:t>environmental sustainability</w:t>
      </w:r>
      <w:r w:rsidR="00506C59">
        <w:t xml:space="preserve"> </w:t>
      </w:r>
      <w:r w:rsidR="00826355">
        <w:t xml:space="preserve">and business sustainability. </w:t>
      </w:r>
    </w:p>
    <w:p w14:paraId="5BCC7D13" w14:textId="77777777" w:rsidR="007F0B1F" w:rsidRDefault="007F0B1F" w:rsidP="007F0B1F"/>
    <w:p w14:paraId="680C37B2" w14:textId="77777777" w:rsidR="00C25274" w:rsidRDefault="00C25274" w:rsidP="00BE6D95">
      <w:pPr>
        <w:rPr>
          <w:b/>
          <w:bCs w:val="0"/>
        </w:rPr>
      </w:pPr>
      <w:r>
        <w:rPr>
          <w:b/>
          <w:bCs w:val="0"/>
        </w:rPr>
        <w:t>Sustainability Compliance Index (SCI)</w:t>
      </w:r>
    </w:p>
    <w:p w14:paraId="08DA3117" w14:textId="7B40C63A" w:rsidR="00F12B83" w:rsidRDefault="00506C59" w:rsidP="00BF60CB">
      <w:r>
        <w:t>Corporate</w:t>
      </w:r>
      <w:r w:rsidR="00C25274">
        <w:t xml:space="preserve"> concern </w:t>
      </w:r>
      <w:r>
        <w:t xml:space="preserve">has been expressed </w:t>
      </w:r>
      <w:r w:rsidR="00C25274">
        <w:t xml:space="preserve">for introducing a sustainability perspective early in the manufacturing </w:t>
      </w:r>
      <w:r>
        <w:t xml:space="preserve">and other </w:t>
      </w:r>
      <w:r w:rsidR="00C25274">
        <w:t>process</w:t>
      </w:r>
      <w:r>
        <w:t>es</w:t>
      </w:r>
      <w:r w:rsidR="00C25274">
        <w:t xml:space="preserve">, and </w:t>
      </w:r>
      <w:r>
        <w:t xml:space="preserve">address this concern, </w:t>
      </w:r>
      <w:r w:rsidRPr="00506C59">
        <w:t xml:space="preserve">Hallstedt </w:t>
      </w:r>
      <w:r>
        <w:t>(</w:t>
      </w:r>
      <w:r w:rsidRPr="00506C59">
        <w:t>2017</w:t>
      </w:r>
      <w:r w:rsidR="003462F5">
        <w:t>:</w:t>
      </w:r>
      <w:r w:rsidR="00F11EC7">
        <w:t>258</w:t>
      </w:r>
      <w:r w:rsidRPr="00506C59">
        <w:t>)</w:t>
      </w:r>
      <w:r>
        <w:t xml:space="preserve"> </w:t>
      </w:r>
      <w:r w:rsidR="00C25274">
        <w:t>attempt</w:t>
      </w:r>
      <w:r>
        <w:t>s</w:t>
      </w:r>
      <w:r w:rsidR="00C25274">
        <w:t xml:space="preserve"> to identify and develop sustainability </w:t>
      </w:r>
      <w:r>
        <w:t>criteria</w:t>
      </w:r>
      <w:r w:rsidR="00BF60CB">
        <w:t xml:space="preserve"> and index in relation to product life-cycle stages and socio-economic sustainability principles</w:t>
      </w:r>
      <w:r w:rsidR="003462F5">
        <w:t>; his</w:t>
      </w:r>
      <w:r w:rsidR="00AC4702">
        <w:t xml:space="preserve"> index</w:t>
      </w:r>
      <w:r w:rsidR="00BF60CB">
        <w:t xml:space="preserve"> </w:t>
      </w:r>
      <w:r w:rsidR="00AC4702">
        <w:t>demonstrat</w:t>
      </w:r>
      <w:r w:rsidR="00BF60CB">
        <w:t>es to what</w:t>
      </w:r>
      <w:r>
        <w:t xml:space="preserve"> </w:t>
      </w:r>
      <w:r w:rsidR="00BF60CB">
        <w:t>degree a product or process concept performs in relation to a sustainable solution</w:t>
      </w:r>
      <w:r w:rsidR="00AC4702">
        <w:t xml:space="preserve"> as indicated </w:t>
      </w:r>
      <w:r w:rsidR="003746CD">
        <w:t xml:space="preserve">in the table </w:t>
      </w:r>
      <w:r w:rsidR="00AC4702">
        <w:t>below:</w:t>
      </w:r>
    </w:p>
    <w:tbl>
      <w:tblPr>
        <w:tblStyle w:val="TableGrid"/>
        <w:tblW w:w="0" w:type="auto"/>
        <w:tblLook w:val="04A0" w:firstRow="1" w:lastRow="0" w:firstColumn="1" w:lastColumn="0" w:noHBand="0" w:noVBand="1"/>
      </w:tblPr>
      <w:tblGrid>
        <w:gridCol w:w="988"/>
        <w:gridCol w:w="8028"/>
      </w:tblGrid>
      <w:tr w:rsidR="004E0438" w14:paraId="727B47F7" w14:textId="77777777" w:rsidTr="00D46296">
        <w:tc>
          <w:tcPr>
            <w:tcW w:w="9016" w:type="dxa"/>
            <w:gridSpan w:val="2"/>
          </w:tcPr>
          <w:p w14:paraId="5DDC9635" w14:textId="3C4DF1CB" w:rsidR="004E0438" w:rsidRPr="004E0438" w:rsidRDefault="004E0438" w:rsidP="004E0438">
            <w:pPr>
              <w:jc w:val="center"/>
              <w:rPr>
                <w:b/>
                <w:bCs w:val="0"/>
              </w:rPr>
            </w:pPr>
            <w:r w:rsidRPr="004E0438">
              <w:rPr>
                <w:b/>
                <w:bCs w:val="0"/>
              </w:rPr>
              <w:t>Sustainability Index Compliance (SCI) Scale</w:t>
            </w:r>
          </w:p>
        </w:tc>
      </w:tr>
      <w:tr w:rsidR="003746CD" w14:paraId="110295FA" w14:textId="77777777" w:rsidTr="004E0438">
        <w:tc>
          <w:tcPr>
            <w:tcW w:w="988" w:type="dxa"/>
          </w:tcPr>
          <w:p w14:paraId="7E84D154" w14:textId="17A90D8A" w:rsidR="003746CD" w:rsidRDefault="003746CD" w:rsidP="00BF60CB">
            <w:r>
              <w:t>SCI 9</w:t>
            </w:r>
          </w:p>
        </w:tc>
        <w:tc>
          <w:tcPr>
            <w:tcW w:w="8028" w:type="dxa"/>
          </w:tcPr>
          <w:p w14:paraId="485F746F" w14:textId="7BD1B8CE" w:rsidR="003746CD" w:rsidRDefault="003746CD" w:rsidP="00BF60CB">
            <w:r>
              <w:t>The strategic sustainability criterion is fulfilled. Reached excellent level.</w:t>
            </w:r>
          </w:p>
        </w:tc>
      </w:tr>
      <w:tr w:rsidR="003746CD" w14:paraId="726E90D7" w14:textId="77777777" w:rsidTr="004E0438">
        <w:tc>
          <w:tcPr>
            <w:tcW w:w="988" w:type="dxa"/>
          </w:tcPr>
          <w:p w14:paraId="2B404E85" w14:textId="5AFCD7CE" w:rsidR="003746CD" w:rsidRDefault="003746CD" w:rsidP="00BF60CB">
            <w:r>
              <w:t>SCI 6</w:t>
            </w:r>
          </w:p>
        </w:tc>
        <w:tc>
          <w:tcPr>
            <w:tcW w:w="8028" w:type="dxa"/>
          </w:tcPr>
          <w:p w14:paraId="5D110EB8" w14:textId="1C198673" w:rsidR="003746CD" w:rsidRDefault="003746CD" w:rsidP="00BF60CB">
            <w:r>
              <w:t>Have implemented a strategy with concrete actions for how to move step-wise towards more sustainable solutions.  Moving strategically towards excellent level (SCI9)</w:t>
            </w:r>
          </w:p>
        </w:tc>
      </w:tr>
      <w:tr w:rsidR="003746CD" w14:paraId="42059736" w14:textId="77777777" w:rsidTr="004E0438">
        <w:tc>
          <w:tcPr>
            <w:tcW w:w="988" w:type="dxa"/>
          </w:tcPr>
          <w:p w14:paraId="16B78CCE" w14:textId="7FA1A870" w:rsidR="003746CD" w:rsidRDefault="003746CD" w:rsidP="00BF60CB">
            <w:r>
              <w:t>SCI 3</w:t>
            </w:r>
          </w:p>
        </w:tc>
        <w:tc>
          <w:tcPr>
            <w:tcW w:w="8028" w:type="dxa"/>
          </w:tcPr>
          <w:p w14:paraId="1AA188B0" w14:textId="2C7ABE20" w:rsidR="003746CD" w:rsidRDefault="003746CD" w:rsidP="00BF60CB">
            <w:r>
              <w:t>Compliance with socio-ecological related regulations.  A low but acceptable level</w:t>
            </w:r>
          </w:p>
        </w:tc>
      </w:tr>
      <w:tr w:rsidR="003746CD" w14:paraId="60A9AFE5" w14:textId="77777777" w:rsidTr="004E0438">
        <w:tc>
          <w:tcPr>
            <w:tcW w:w="988" w:type="dxa"/>
          </w:tcPr>
          <w:p w14:paraId="6B86D333" w14:textId="0B21EBBC" w:rsidR="003746CD" w:rsidRDefault="003746CD" w:rsidP="00BF60CB">
            <w:r>
              <w:t>SCI 1</w:t>
            </w:r>
          </w:p>
        </w:tc>
        <w:tc>
          <w:tcPr>
            <w:tcW w:w="8028" w:type="dxa"/>
          </w:tcPr>
          <w:p w14:paraId="2E612A8A" w14:textId="5D358D4E" w:rsidR="003746CD" w:rsidRDefault="003746CD" w:rsidP="00BF60CB">
            <w:r>
              <w:t>Lowest level of sustainability compliance.  Not acceptable level.</w:t>
            </w:r>
          </w:p>
        </w:tc>
      </w:tr>
      <w:tr w:rsidR="003746CD" w14:paraId="07C6AEE8" w14:textId="77777777" w:rsidTr="004E0438">
        <w:tc>
          <w:tcPr>
            <w:tcW w:w="988" w:type="dxa"/>
          </w:tcPr>
          <w:p w14:paraId="68CDD422" w14:textId="2F5D351C" w:rsidR="003746CD" w:rsidRDefault="003746CD" w:rsidP="00BF60CB">
            <w:r>
              <w:t>0</w:t>
            </w:r>
          </w:p>
        </w:tc>
        <w:tc>
          <w:tcPr>
            <w:tcW w:w="8028" w:type="dxa"/>
          </w:tcPr>
          <w:p w14:paraId="3B50046D" w14:textId="1718A7E3" w:rsidR="003746CD" w:rsidRDefault="003746CD" w:rsidP="00BF60CB">
            <w:r>
              <w:t>No information to score a SCI value.  Need more research and investigation</w:t>
            </w:r>
          </w:p>
        </w:tc>
      </w:tr>
    </w:tbl>
    <w:p w14:paraId="5E3E2FD7" w14:textId="4D588874" w:rsidR="003746CD" w:rsidRDefault="003746CD" w:rsidP="00BE6D95">
      <w:r w:rsidRPr="003746CD">
        <w:t>The SCI scale is listed in descending order of compliance, and the final row represents unavailable information.</w:t>
      </w:r>
      <w:r w:rsidR="004E0438">
        <w:t xml:space="preserve">  The index is useful for flagging up the </w:t>
      </w:r>
      <w:r w:rsidR="00F12B83">
        <w:t xml:space="preserve">current level of compliance, and underlines the </w:t>
      </w:r>
      <w:r w:rsidR="004E0438">
        <w:t>need to undertake further work in order to reach the top excellent level.</w:t>
      </w:r>
    </w:p>
    <w:p w14:paraId="5877B6DC" w14:textId="339F7A9A" w:rsidR="00D940C0" w:rsidRDefault="00D940C0" w:rsidP="00BE6D95"/>
    <w:p w14:paraId="1B494E9F" w14:textId="77777777" w:rsidR="00D940C0" w:rsidRPr="005307D9" w:rsidRDefault="00D940C0" w:rsidP="00D940C0">
      <w:pPr>
        <w:rPr>
          <w:b/>
          <w:bCs w:val="0"/>
        </w:rPr>
      </w:pPr>
      <w:r w:rsidRPr="005307D9">
        <w:rPr>
          <w:b/>
          <w:bCs w:val="0"/>
        </w:rPr>
        <w:t>Compliance and due diligence</w:t>
      </w:r>
    </w:p>
    <w:p w14:paraId="082F2C9B" w14:textId="1D683702" w:rsidR="00D940C0" w:rsidRDefault="00D940C0" w:rsidP="00BE6D95">
      <w:r w:rsidRPr="005307D9">
        <w:t xml:space="preserve">Due diligence refers to the process of collecting, examining, analysing and researching information in order to make decisions that comply with regulatory requirements.  Prieto </w:t>
      </w:r>
      <w:r w:rsidRPr="005307D9">
        <w:rPr>
          <w:i/>
          <w:iCs/>
        </w:rPr>
        <w:t>et al</w:t>
      </w:r>
      <w:r w:rsidRPr="005307D9">
        <w:t xml:space="preserve"> (2021:1) describe the concept of due diligence as “a methodology for assessing risks”.  </w:t>
      </w:r>
      <w:r>
        <w:t xml:space="preserve">While due diligence processes may differ from industry to industry, the overarching aim of the </w:t>
      </w:r>
      <w:r w:rsidRPr="005307D9">
        <w:t xml:space="preserve">process of due diligence is to mitigate risk and facilitate compliance.  </w:t>
      </w:r>
      <w:r>
        <w:t>Thus, the process of due diligence could help ensure compliance with sustainability requirements and mitigate risks that may arise on account of non-compliance.</w:t>
      </w:r>
    </w:p>
    <w:p w14:paraId="722B757F" w14:textId="77777777" w:rsidR="00C25274" w:rsidRPr="00C25274" w:rsidRDefault="00C25274" w:rsidP="00BE6D95"/>
    <w:p w14:paraId="5B58BD73" w14:textId="5BF1D6DC" w:rsidR="00BE6D95" w:rsidRPr="00BE6D95" w:rsidRDefault="00E03DB2" w:rsidP="00BE6D95">
      <w:pPr>
        <w:rPr>
          <w:b/>
          <w:bCs w:val="0"/>
        </w:rPr>
      </w:pPr>
      <w:r>
        <w:rPr>
          <w:b/>
          <w:bCs w:val="0"/>
        </w:rPr>
        <w:t xml:space="preserve">Summary </w:t>
      </w:r>
      <w:r w:rsidR="00852AEC">
        <w:rPr>
          <w:b/>
          <w:bCs w:val="0"/>
        </w:rPr>
        <w:t>/</w:t>
      </w:r>
      <w:r>
        <w:rPr>
          <w:b/>
          <w:bCs w:val="0"/>
        </w:rPr>
        <w:t xml:space="preserve"> </w:t>
      </w:r>
      <w:r w:rsidR="009D0375">
        <w:rPr>
          <w:b/>
          <w:bCs w:val="0"/>
        </w:rPr>
        <w:t>Conclusion</w:t>
      </w:r>
    </w:p>
    <w:p w14:paraId="5AF862A8" w14:textId="6C0104DC" w:rsidR="00D03EDE" w:rsidRDefault="00F26921" w:rsidP="00A01C3A">
      <w:r>
        <w:t>Compliance</w:t>
      </w:r>
      <w:r w:rsidR="00E03DB2">
        <w:t xml:space="preserve"> has implications for </w:t>
      </w:r>
      <w:r w:rsidR="009D0375">
        <w:t xml:space="preserve">sustainability.  It is crucial that </w:t>
      </w:r>
      <w:r w:rsidR="00523D5A">
        <w:t xml:space="preserve">corporate </w:t>
      </w:r>
      <w:r w:rsidR="00E03DB2">
        <w:t xml:space="preserve">dealings in </w:t>
      </w:r>
      <w:r w:rsidR="002567D1">
        <w:t xml:space="preserve">their day-to-day practices </w:t>
      </w:r>
      <w:r w:rsidR="00E03DB2">
        <w:t xml:space="preserve">are </w:t>
      </w:r>
      <w:r w:rsidR="00523D5A">
        <w:t>compliant with relevant regulations and conventions,</w:t>
      </w:r>
      <w:r w:rsidR="00E03DB2">
        <w:t xml:space="preserve"> not only for s</w:t>
      </w:r>
      <w:r w:rsidR="0057347B">
        <w:t xml:space="preserve">ustainability </w:t>
      </w:r>
      <w:r w:rsidR="00E03DB2">
        <w:t xml:space="preserve">and ethical </w:t>
      </w:r>
      <w:r w:rsidR="0057347B">
        <w:t xml:space="preserve">issues </w:t>
      </w:r>
      <w:r w:rsidR="00E03DB2">
        <w:t>but also for</w:t>
      </w:r>
      <w:r w:rsidR="00A01C3A">
        <w:t xml:space="preserve"> preserving the</w:t>
      </w:r>
      <w:r w:rsidR="0057347B">
        <w:t xml:space="preserve"> </w:t>
      </w:r>
      <w:r w:rsidR="0057347B" w:rsidRPr="0057347B">
        <w:t xml:space="preserve">long-term health of </w:t>
      </w:r>
      <w:r w:rsidR="00523D5A">
        <w:t>companies and businesses</w:t>
      </w:r>
      <w:r w:rsidR="00A01C3A">
        <w:t xml:space="preserve">. </w:t>
      </w:r>
      <w:r w:rsidR="00852AEC">
        <w:t xml:space="preserve"> Firms would need to recognise that in the long term, profits are linked to sustainability</w:t>
      </w:r>
      <w:r w:rsidR="00F12B83">
        <w:t>.</w:t>
      </w:r>
      <w:r w:rsidR="00A01C3A">
        <w:t xml:space="preserve"> </w:t>
      </w:r>
    </w:p>
    <w:p w14:paraId="0AED7DE8" w14:textId="77777777" w:rsidR="00D03EDE" w:rsidRDefault="00D03EDE" w:rsidP="00A01C3A"/>
    <w:p w14:paraId="7668DDA3" w14:textId="5163F2C3" w:rsidR="00BE6D95" w:rsidRPr="00BE6D95" w:rsidRDefault="00BE6D95" w:rsidP="00BE6D95">
      <w:pPr>
        <w:rPr>
          <w:b/>
          <w:bCs w:val="0"/>
        </w:rPr>
      </w:pPr>
      <w:r w:rsidRPr="00BE6D95">
        <w:rPr>
          <w:b/>
          <w:bCs w:val="0"/>
        </w:rPr>
        <w:t>Cross-references</w:t>
      </w:r>
    </w:p>
    <w:p w14:paraId="6A7BC98B" w14:textId="77777777" w:rsidR="00DF5458" w:rsidRDefault="00DF5458" w:rsidP="00BE6D95">
      <w:r>
        <w:t>Corporate Governance</w:t>
      </w:r>
    </w:p>
    <w:p w14:paraId="6B3B5B16" w14:textId="77777777" w:rsidR="00DF5458" w:rsidRDefault="00DF5458" w:rsidP="00BE6D95">
      <w:r>
        <w:t>Corporate Governance Compliance</w:t>
      </w:r>
    </w:p>
    <w:p w14:paraId="24B575E6" w14:textId="5617D460" w:rsidR="007E7A4F" w:rsidRDefault="007E7A4F" w:rsidP="00BE6D95">
      <w:r>
        <w:t>Corporate Social Responsibility</w:t>
      </w:r>
    </w:p>
    <w:p w14:paraId="15CE044F" w14:textId="77777777" w:rsidR="006769C1" w:rsidRDefault="006769C1" w:rsidP="00BE6D95">
      <w:r>
        <w:t>Due Diligence</w:t>
      </w:r>
    </w:p>
    <w:p w14:paraId="6F406DE5" w14:textId="1603407F" w:rsidR="000878A6" w:rsidRDefault="009D0375" w:rsidP="00BE6D95">
      <w:r>
        <w:t>Enlightened Self Interest</w:t>
      </w:r>
    </w:p>
    <w:p w14:paraId="1681942F" w14:textId="77777777" w:rsidR="00BB240A" w:rsidRDefault="00BB240A" w:rsidP="00BE6D95">
      <w:r>
        <w:t>Management Control Systems and Sustainability</w:t>
      </w:r>
    </w:p>
    <w:p w14:paraId="209E0D85" w14:textId="44DE12BC" w:rsidR="00E03DB2" w:rsidRDefault="00E03DB2" w:rsidP="00BE6D95">
      <w:r>
        <w:t>Moral Hazard</w:t>
      </w:r>
    </w:p>
    <w:p w14:paraId="38088FA6" w14:textId="4A830D32" w:rsidR="00E64AFA" w:rsidRDefault="00E64AFA" w:rsidP="00BE6D95">
      <w:r>
        <w:t>Sustainable Community</w:t>
      </w:r>
    </w:p>
    <w:p w14:paraId="0C1D0C0C" w14:textId="77777777" w:rsidR="009D0375" w:rsidRPr="009D0375" w:rsidRDefault="009D0375" w:rsidP="00BE6D95"/>
    <w:p w14:paraId="1C26A984" w14:textId="4FB1B382" w:rsidR="00BE6D95" w:rsidRPr="00BE6D95" w:rsidRDefault="00BE6D95" w:rsidP="00BE6D95">
      <w:pPr>
        <w:rPr>
          <w:b/>
          <w:bCs w:val="0"/>
        </w:rPr>
      </w:pPr>
      <w:r w:rsidRPr="00BE6D95">
        <w:rPr>
          <w:b/>
          <w:bCs w:val="0"/>
        </w:rPr>
        <w:t>References</w:t>
      </w:r>
    </w:p>
    <w:p w14:paraId="7526A630" w14:textId="6186303A" w:rsidR="00F26921" w:rsidRDefault="00F26921" w:rsidP="00F26921">
      <w:pPr>
        <w:ind w:left="284" w:hanging="284"/>
      </w:pPr>
      <w:r>
        <w:t>Ambec, S., Cohen, M., Elgie, S., Lanoie, P., 2013. The Porter hypothesis at 20: can environmental regulation enhance innovation and competitiveness? Rev. Environ. Econ. Pol. 7 (1), 2e22.</w:t>
      </w:r>
      <w:r w:rsidRPr="00E567E4">
        <w:t xml:space="preserve"> </w:t>
      </w:r>
    </w:p>
    <w:p w14:paraId="24FB9A53" w14:textId="12558046" w:rsidR="00E567E4" w:rsidRPr="00E567E4" w:rsidRDefault="00E567E4" w:rsidP="00F26921">
      <w:pPr>
        <w:ind w:left="284" w:hanging="284"/>
      </w:pPr>
      <w:r w:rsidRPr="00E567E4">
        <w:t>Davies, H. and Green, D. (20</w:t>
      </w:r>
      <w:r w:rsidR="00AA4E20">
        <w:t>13</w:t>
      </w:r>
      <w:r w:rsidRPr="00E567E4">
        <w:t xml:space="preserve">) ‘Global Financial Regulation: The Essential Guide’ John Wiley and Sons  </w:t>
      </w:r>
    </w:p>
    <w:p w14:paraId="32835FF3" w14:textId="5B84E7D2" w:rsidR="001D6F56" w:rsidRDefault="00826355" w:rsidP="001D6F56">
      <w:pPr>
        <w:ind w:left="284" w:hanging="284"/>
      </w:pPr>
      <w:r w:rsidRPr="00826355">
        <w:t xml:space="preserve">Doyle, </w:t>
      </w:r>
      <w:r>
        <w:t xml:space="preserve">E., </w:t>
      </w:r>
      <w:r w:rsidRPr="00826355">
        <w:t xml:space="preserve">McGovern, </w:t>
      </w:r>
      <w:r>
        <w:t xml:space="preserve">D., </w:t>
      </w:r>
      <w:r w:rsidRPr="00826355">
        <w:t>McCarthy,</w:t>
      </w:r>
      <w:r>
        <w:t xml:space="preserve"> S.</w:t>
      </w:r>
      <w:r w:rsidRPr="00826355">
        <w:t xml:space="preserve"> </w:t>
      </w:r>
      <w:r w:rsidR="006732C9">
        <w:t>and</w:t>
      </w:r>
      <w:r w:rsidRPr="00826355">
        <w:t xml:space="preserve"> Perez-Alaniz</w:t>
      </w:r>
      <w:r>
        <w:t>, M</w:t>
      </w:r>
      <w:r w:rsidR="006732C9">
        <w:t xml:space="preserve">. (2019) </w:t>
      </w:r>
      <w:r w:rsidR="001D6F56">
        <w:t>Compliance-innovation: A quality-based route to sustainability</w:t>
      </w:r>
      <w:r w:rsidR="006732C9">
        <w:t xml:space="preserve"> </w:t>
      </w:r>
      <w:r w:rsidR="001D6F56">
        <w:t>Journal of Cleaner Production, Volume 210, 10 February 2019, Pages 266-275</w:t>
      </w:r>
    </w:p>
    <w:p w14:paraId="635C1F24" w14:textId="503E3F43" w:rsidR="00E567E4" w:rsidRPr="00E567E4" w:rsidRDefault="00E567E4" w:rsidP="001D6F56">
      <w:pPr>
        <w:ind w:left="284" w:hanging="284"/>
      </w:pPr>
      <w:r w:rsidRPr="00E567E4">
        <w:t>Dragomir, L. (2012) European Prudential Banking Regulation and Supervision: The Legal Dimension Routledge / Taylor and Francis</w:t>
      </w:r>
    </w:p>
    <w:p w14:paraId="6023A2BC" w14:textId="77777777" w:rsidR="00E567E4" w:rsidRPr="00E567E4" w:rsidRDefault="00E567E4" w:rsidP="00E567E4">
      <w:pPr>
        <w:ind w:left="284" w:hanging="284"/>
      </w:pPr>
      <w:r w:rsidRPr="00E567E4">
        <w:lastRenderedPageBreak/>
        <w:t>Goodhart, C. Hartmann, P., Llewellyn, D. T., Rojas-Suarez, L. and Weisbrod, S. (1999) ‘Financial Regulation: Why, How and Where Now? ‘Routledge, Abingdon Oxon (reprinted 2005)</w:t>
      </w:r>
    </w:p>
    <w:p w14:paraId="28A1ECAB" w14:textId="5D5B2C3D" w:rsidR="00E567E4" w:rsidRDefault="00E567E4" w:rsidP="00E567E4">
      <w:pPr>
        <w:ind w:left="284" w:hanging="284"/>
      </w:pPr>
      <w:r w:rsidRPr="00E567E4">
        <w:t>Greenspan, A. (2007) ‘The Age of Turbulence’ Penguin Press, London</w:t>
      </w:r>
      <w:r w:rsidR="00847130">
        <w:t>.</w:t>
      </w:r>
    </w:p>
    <w:p w14:paraId="4014A104" w14:textId="65B20B4C" w:rsidR="006B29B7" w:rsidRDefault="006B29B7" w:rsidP="006B29B7">
      <w:pPr>
        <w:ind w:left="284" w:hanging="284"/>
      </w:pPr>
      <w:r w:rsidRPr="006B29B7">
        <w:t xml:space="preserve">Grimm, </w:t>
      </w:r>
      <w:r>
        <w:t xml:space="preserve">J. H., </w:t>
      </w:r>
      <w:r w:rsidRPr="006B29B7">
        <w:t>Hofstetter,</w:t>
      </w:r>
      <w:r>
        <w:t xml:space="preserve"> J. S. and</w:t>
      </w:r>
      <w:r w:rsidRPr="006B29B7">
        <w:t xml:space="preserve"> Sarkis</w:t>
      </w:r>
      <w:r w:rsidR="00EC0B74">
        <w:t xml:space="preserve">, J. (2016) </w:t>
      </w:r>
      <w:r>
        <w:t>Exploring sub-suppliers' compliance with corporate sustainability standards</w:t>
      </w:r>
      <w:r w:rsidR="00EC0B74">
        <w:t xml:space="preserve"> </w:t>
      </w:r>
      <w:r>
        <w:t>Journal of Cleaner Production, Volume 112, Part 3, 20 January 2016, Pages 1971-1984</w:t>
      </w:r>
    </w:p>
    <w:p w14:paraId="3FA33109" w14:textId="161C95F1" w:rsidR="00C25274" w:rsidRDefault="00C25274" w:rsidP="006B29B7">
      <w:pPr>
        <w:ind w:left="284" w:hanging="284"/>
      </w:pPr>
      <w:r w:rsidRPr="00C25274">
        <w:t>Hallstedt</w:t>
      </w:r>
      <w:r>
        <w:t>, S. I. (2017) Sustainability criteria and sustainability compliance index for decision support in product development Journal of Cleaner Production, Volume 140, Part 1, 1 January 2017, Pages 251-266</w:t>
      </w:r>
    </w:p>
    <w:p w14:paraId="0DBCFEB9" w14:textId="5B88C230" w:rsidR="00847130" w:rsidRDefault="00847130" w:rsidP="00C25274">
      <w:pPr>
        <w:ind w:left="284" w:hanging="284"/>
      </w:pPr>
      <w:r w:rsidRPr="00847130">
        <w:t>Mills, A. and Haines, P. (2015) 'Essential Strategies for Financial Services Compliance​‘ 2nd Ed. John Wiley and Sons, Chichester</w:t>
      </w:r>
    </w:p>
    <w:p w14:paraId="41D5B149" w14:textId="00C18385" w:rsidR="006732C9" w:rsidRDefault="006732C9" w:rsidP="00E567E4">
      <w:pPr>
        <w:ind w:left="284" w:hanging="284"/>
      </w:pPr>
      <w:r w:rsidRPr="006732C9">
        <w:t xml:space="preserve">Nidumolu, R., Prahalad, C.K., Rangaswami, M.R., </w:t>
      </w:r>
      <w:r>
        <w:t>(</w:t>
      </w:r>
      <w:r w:rsidRPr="006732C9">
        <w:t>2009</w:t>
      </w:r>
      <w:r>
        <w:t>)</w:t>
      </w:r>
      <w:r w:rsidRPr="006732C9">
        <w:t xml:space="preserve"> Why sustainability is now the</w:t>
      </w:r>
      <w:r>
        <w:t xml:space="preserve"> </w:t>
      </w:r>
      <w:r w:rsidRPr="006732C9">
        <w:t>key driver of innovation. Harv. Bus. Rev. 87 (9), 56</w:t>
      </w:r>
      <w:r>
        <w:t>-</w:t>
      </w:r>
      <w:r w:rsidRPr="006732C9">
        <w:t>64.</w:t>
      </w:r>
    </w:p>
    <w:p w14:paraId="11F7964B" w14:textId="7E244B7C" w:rsidR="006732C9" w:rsidRDefault="006732C9" w:rsidP="006732C9">
      <w:pPr>
        <w:ind w:left="284" w:hanging="284"/>
      </w:pPr>
      <w:r>
        <w:t>Porter, M.E., Van der Linde, C., (1995) Toward a new conception of the environment competitiveness relationship. J. Econ. Perspect. 9 (4), 97-118.</w:t>
      </w:r>
    </w:p>
    <w:p w14:paraId="5170C3B0" w14:textId="01C1C267" w:rsidR="005307D9" w:rsidRDefault="005307D9" w:rsidP="006732C9">
      <w:pPr>
        <w:ind w:left="284" w:hanging="284"/>
      </w:pPr>
      <w:r w:rsidRPr="005307D9">
        <w:t xml:space="preserve">Sanz-Prieto, I., de-la-fuente-Valentín, L., and Ríos-Aguilar, S. (2021) ‘Technical due diligence as a methodology for assessing risks in start-up ecosystems: An advanced approach </w:t>
      </w:r>
      <w:r w:rsidRPr="005307D9">
        <w:rPr>
          <w:i/>
          <w:iCs/>
        </w:rPr>
        <w:t>Information Processing &amp; Management</w:t>
      </w:r>
      <w:r>
        <w:t>,</w:t>
      </w:r>
      <w:r w:rsidRPr="005307D9">
        <w:t>14 May 2021.</w:t>
      </w:r>
    </w:p>
    <w:p w14:paraId="31E7EDEA" w14:textId="77777777" w:rsidR="00E567E4" w:rsidRDefault="00E567E4" w:rsidP="00E567E4">
      <w:pPr>
        <w:ind w:left="284" w:hanging="284"/>
      </w:pPr>
    </w:p>
    <w:p w14:paraId="53411A91" w14:textId="77777777" w:rsidR="00E567E4" w:rsidRDefault="00E567E4" w:rsidP="00E567E4">
      <w:pPr>
        <w:ind w:left="284" w:hanging="284"/>
      </w:pPr>
    </w:p>
    <w:p w14:paraId="530E8B46" w14:textId="3A502DCA" w:rsidR="00AA461D" w:rsidRDefault="00AA461D" w:rsidP="00005096"/>
    <w:sectPr w:rsidR="00AA46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81C79" w14:textId="77777777" w:rsidR="00735045" w:rsidRDefault="00735045" w:rsidP="00AA15EA">
      <w:r>
        <w:separator/>
      </w:r>
    </w:p>
  </w:endnote>
  <w:endnote w:type="continuationSeparator" w:id="0">
    <w:p w14:paraId="1E22BA3D" w14:textId="77777777" w:rsidR="00735045" w:rsidRDefault="00735045" w:rsidP="00AA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800FE" w14:textId="77777777" w:rsidR="00735045" w:rsidRDefault="00735045" w:rsidP="00AA15EA">
      <w:r>
        <w:separator/>
      </w:r>
    </w:p>
  </w:footnote>
  <w:footnote w:type="continuationSeparator" w:id="0">
    <w:p w14:paraId="6616E6B8" w14:textId="77777777" w:rsidR="00735045" w:rsidRDefault="00735045" w:rsidP="00AA1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D31014"/>
    <w:multiLevelType w:val="multilevel"/>
    <w:tmpl w:val="0C08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EE"/>
    <w:rsid w:val="00005096"/>
    <w:rsid w:val="000878A6"/>
    <w:rsid w:val="000C650D"/>
    <w:rsid w:val="000D64AA"/>
    <w:rsid w:val="000E1DCA"/>
    <w:rsid w:val="000E6282"/>
    <w:rsid w:val="000F193A"/>
    <w:rsid w:val="001008A5"/>
    <w:rsid w:val="00107E76"/>
    <w:rsid w:val="00115BF2"/>
    <w:rsid w:val="00130815"/>
    <w:rsid w:val="001466CC"/>
    <w:rsid w:val="00154A7D"/>
    <w:rsid w:val="0018052D"/>
    <w:rsid w:val="001938BC"/>
    <w:rsid w:val="001B066D"/>
    <w:rsid w:val="001B0E76"/>
    <w:rsid w:val="001B28C2"/>
    <w:rsid w:val="001D67C9"/>
    <w:rsid w:val="001D6F56"/>
    <w:rsid w:val="001F5501"/>
    <w:rsid w:val="002149F8"/>
    <w:rsid w:val="002345F2"/>
    <w:rsid w:val="00241EB2"/>
    <w:rsid w:val="00243866"/>
    <w:rsid w:val="002518B4"/>
    <w:rsid w:val="00253027"/>
    <w:rsid w:val="002567D1"/>
    <w:rsid w:val="002C3F4C"/>
    <w:rsid w:val="002C6F7E"/>
    <w:rsid w:val="0030309A"/>
    <w:rsid w:val="00314835"/>
    <w:rsid w:val="00322ECF"/>
    <w:rsid w:val="003316AB"/>
    <w:rsid w:val="003462F5"/>
    <w:rsid w:val="00355E0D"/>
    <w:rsid w:val="00370B81"/>
    <w:rsid w:val="003746CD"/>
    <w:rsid w:val="003A68D6"/>
    <w:rsid w:val="003B6583"/>
    <w:rsid w:val="003D6776"/>
    <w:rsid w:val="003D78ED"/>
    <w:rsid w:val="003F7AA2"/>
    <w:rsid w:val="00416B78"/>
    <w:rsid w:val="00424F99"/>
    <w:rsid w:val="00443FA6"/>
    <w:rsid w:val="00477EAA"/>
    <w:rsid w:val="00486691"/>
    <w:rsid w:val="0048795C"/>
    <w:rsid w:val="004949A5"/>
    <w:rsid w:val="004B2382"/>
    <w:rsid w:val="004E0438"/>
    <w:rsid w:val="005068E4"/>
    <w:rsid w:val="00506C59"/>
    <w:rsid w:val="00523D5A"/>
    <w:rsid w:val="005307D9"/>
    <w:rsid w:val="0054301A"/>
    <w:rsid w:val="00545641"/>
    <w:rsid w:val="00557D3A"/>
    <w:rsid w:val="0057347B"/>
    <w:rsid w:val="00592692"/>
    <w:rsid w:val="005C796D"/>
    <w:rsid w:val="005D6A29"/>
    <w:rsid w:val="00616567"/>
    <w:rsid w:val="006550AD"/>
    <w:rsid w:val="006564A7"/>
    <w:rsid w:val="00664F0B"/>
    <w:rsid w:val="006732C9"/>
    <w:rsid w:val="006769C1"/>
    <w:rsid w:val="00677F04"/>
    <w:rsid w:val="00692BEF"/>
    <w:rsid w:val="00695E61"/>
    <w:rsid w:val="006A21D5"/>
    <w:rsid w:val="006B29B7"/>
    <w:rsid w:val="006D0D94"/>
    <w:rsid w:val="006D585B"/>
    <w:rsid w:val="006D5A6B"/>
    <w:rsid w:val="006E55D4"/>
    <w:rsid w:val="006F2C2D"/>
    <w:rsid w:val="00716354"/>
    <w:rsid w:val="007250B1"/>
    <w:rsid w:val="00735045"/>
    <w:rsid w:val="00746E40"/>
    <w:rsid w:val="00772754"/>
    <w:rsid w:val="00784144"/>
    <w:rsid w:val="007B3095"/>
    <w:rsid w:val="007B4DAF"/>
    <w:rsid w:val="007E0F52"/>
    <w:rsid w:val="007E7A4F"/>
    <w:rsid w:val="007F0B1F"/>
    <w:rsid w:val="0080094E"/>
    <w:rsid w:val="00804E1E"/>
    <w:rsid w:val="008178C2"/>
    <w:rsid w:val="00826355"/>
    <w:rsid w:val="00847130"/>
    <w:rsid w:val="00852AEC"/>
    <w:rsid w:val="00853614"/>
    <w:rsid w:val="00890708"/>
    <w:rsid w:val="00892508"/>
    <w:rsid w:val="008B3591"/>
    <w:rsid w:val="00920C7B"/>
    <w:rsid w:val="009242D9"/>
    <w:rsid w:val="009603E8"/>
    <w:rsid w:val="009865DC"/>
    <w:rsid w:val="009C103A"/>
    <w:rsid w:val="009C7620"/>
    <w:rsid w:val="009D0375"/>
    <w:rsid w:val="009E5D00"/>
    <w:rsid w:val="009E7604"/>
    <w:rsid w:val="00A01C3A"/>
    <w:rsid w:val="00A932DB"/>
    <w:rsid w:val="00AA15EA"/>
    <w:rsid w:val="00AA461D"/>
    <w:rsid w:val="00AA4E20"/>
    <w:rsid w:val="00AB4382"/>
    <w:rsid w:val="00AC4702"/>
    <w:rsid w:val="00AD32D7"/>
    <w:rsid w:val="00AD7B7C"/>
    <w:rsid w:val="00AE0B28"/>
    <w:rsid w:val="00AE4A6E"/>
    <w:rsid w:val="00B149F5"/>
    <w:rsid w:val="00B62A92"/>
    <w:rsid w:val="00B70697"/>
    <w:rsid w:val="00B907C1"/>
    <w:rsid w:val="00B91FB7"/>
    <w:rsid w:val="00BA378F"/>
    <w:rsid w:val="00BA77FD"/>
    <w:rsid w:val="00BB240A"/>
    <w:rsid w:val="00BD06CD"/>
    <w:rsid w:val="00BD0E1E"/>
    <w:rsid w:val="00BE6D95"/>
    <w:rsid w:val="00BF60CB"/>
    <w:rsid w:val="00C25274"/>
    <w:rsid w:val="00C4392D"/>
    <w:rsid w:val="00C51C48"/>
    <w:rsid w:val="00C75C5F"/>
    <w:rsid w:val="00C87C70"/>
    <w:rsid w:val="00C91BDF"/>
    <w:rsid w:val="00CF0B4F"/>
    <w:rsid w:val="00D02992"/>
    <w:rsid w:val="00D03EDE"/>
    <w:rsid w:val="00D1409A"/>
    <w:rsid w:val="00D25BEA"/>
    <w:rsid w:val="00D266A0"/>
    <w:rsid w:val="00D940C0"/>
    <w:rsid w:val="00DC2371"/>
    <w:rsid w:val="00DF5458"/>
    <w:rsid w:val="00E03DB2"/>
    <w:rsid w:val="00E37AAC"/>
    <w:rsid w:val="00E567E4"/>
    <w:rsid w:val="00E64AFA"/>
    <w:rsid w:val="00E75722"/>
    <w:rsid w:val="00E77753"/>
    <w:rsid w:val="00E937DE"/>
    <w:rsid w:val="00EC0B74"/>
    <w:rsid w:val="00EF0C12"/>
    <w:rsid w:val="00F006EE"/>
    <w:rsid w:val="00F11EC7"/>
    <w:rsid w:val="00F12B83"/>
    <w:rsid w:val="00F24CDF"/>
    <w:rsid w:val="00F26921"/>
    <w:rsid w:val="00F312EA"/>
    <w:rsid w:val="00F62F6C"/>
    <w:rsid w:val="00F7632A"/>
    <w:rsid w:val="00F9133B"/>
    <w:rsid w:val="00F91F24"/>
    <w:rsid w:val="00FD1C64"/>
    <w:rsid w:val="00FD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85F4"/>
  <w15:chartTrackingRefBased/>
  <w15:docId w15:val="{752234C0-2CF7-4F62-877A-B2598230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Cs/>
        <w:color w:val="000000"/>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15EA"/>
  </w:style>
  <w:style w:type="character" w:customStyle="1" w:styleId="FootnoteTextChar">
    <w:name w:val="Footnote Text Char"/>
    <w:basedOn w:val="DefaultParagraphFont"/>
    <w:link w:val="FootnoteText"/>
    <w:uiPriority w:val="99"/>
    <w:semiHidden/>
    <w:rsid w:val="00AA15EA"/>
  </w:style>
  <w:style w:type="character" w:styleId="FootnoteReference">
    <w:name w:val="footnote reference"/>
    <w:basedOn w:val="DefaultParagraphFont"/>
    <w:semiHidden/>
    <w:rsid w:val="00AA15EA"/>
    <w:rPr>
      <w:vertAlign w:val="superscript"/>
    </w:rPr>
  </w:style>
  <w:style w:type="character" w:styleId="Hyperlink">
    <w:name w:val="Hyperlink"/>
    <w:basedOn w:val="DefaultParagraphFont"/>
    <w:uiPriority w:val="99"/>
    <w:unhideWhenUsed/>
    <w:rsid w:val="00AA461D"/>
    <w:rPr>
      <w:color w:val="0563C1" w:themeColor="hyperlink"/>
      <w:u w:val="single"/>
    </w:rPr>
  </w:style>
  <w:style w:type="character" w:styleId="UnresolvedMention">
    <w:name w:val="Unresolved Mention"/>
    <w:basedOn w:val="DefaultParagraphFont"/>
    <w:uiPriority w:val="99"/>
    <w:semiHidden/>
    <w:unhideWhenUsed/>
    <w:rsid w:val="00AA461D"/>
    <w:rPr>
      <w:color w:val="605E5C"/>
      <w:shd w:val="clear" w:color="auto" w:fill="E1DFDD"/>
    </w:rPr>
  </w:style>
  <w:style w:type="table" w:styleId="TableGrid">
    <w:name w:val="Table Grid"/>
    <w:basedOn w:val="TableNormal"/>
    <w:uiPriority w:val="39"/>
    <w:rsid w:val="00374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0738">
      <w:bodyDiv w:val="1"/>
      <w:marLeft w:val="0"/>
      <w:marRight w:val="0"/>
      <w:marTop w:val="0"/>
      <w:marBottom w:val="0"/>
      <w:divBdr>
        <w:top w:val="none" w:sz="0" w:space="0" w:color="auto"/>
        <w:left w:val="none" w:sz="0" w:space="0" w:color="auto"/>
        <w:bottom w:val="none" w:sz="0" w:space="0" w:color="auto"/>
        <w:right w:val="none" w:sz="0" w:space="0" w:color="auto"/>
      </w:divBdr>
    </w:div>
    <w:div w:id="24258824">
      <w:bodyDiv w:val="1"/>
      <w:marLeft w:val="0"/>
      <w:marRight w:val="0"/>
      <w:marTop w:val="0"/>
      <w:marBottom w:val="0"/>
      <w:divBdr>
        <w:top w:val="none" w:sz="0" w:space="0" w:color="auto"/>
        <w:left w:val="none" w:sz="0" w:space="0" w:color="auto"/>
        <w:bottom w:val="none" w:sz="0" w:space="0" w:color="auto"/>
        <w:right w:val="none" w:sz="0" w:space="0" w:color="auto"/>
      </w:divBdr>
      <w:divsChild>
        <w:div w:id="427653612">
          <w:marLeft w:val="547"/>
          <w:marRight w:val="0"/>
          <w:marTop w:val="134"/>
          <w:marBottom w:val="0"/>
          <w:divBdr>
            <w:top w:val="none" w:sz="0" w:space="0" w:color="auto"/>
            <w:left w:val="none" w:sz="0" w:space="0" w:color="auto"/>
            <w:bottom w:val="none" w:sz="0" w:space="0" w:color="auto"/>
            <w:right w:val="none" w:sz="0" w:space="0" w:color="auto"/>
          </w:divBdr>
        </w:div>
      </w:divsChild>
    </w:div>
    <w:div w:id="29456939">
      <w:bodyDiv w:val="1"/>
      <w:marLeft w:val="0"/>
      <w:marRight w:val="0"/>
      <w:marTop w:val="0"/>
      <w:marBottom w:val="0"/>
      <w:divBdr>
        <w:top w:val="none" w:sz="0" w:space="0" w:color="auto"/>
        <w:left w:val="none" w:sz="0" w:space="0" w:color="auto"/>
        <w:bottom w:val="none" w:sz="0" w:space="0" w:color="auto"/>
        <w:right w:val="none" w:sz="0" w:space="0" w:color="auto"/>
      </w:divBdr>
    </w:div>
    <w:div w:id="96873245">
      <w:bodyDiv w:val="1"/>
      <w:marLeft w:val="0"/>
      <w:marRight w:val="0"/>
      <w:marTop w:val="0"/>
      <w:marBottom w:val="0"/>
      <w:divBdr>
        <w:top w:val="none" w:sz="0" w:space="0" w:color="auto"/>
        <w:left w:val="none" w:sz="0" w:space="0" w:color="auto"/>
        <w:bottom w:val="none" w:sz="0" w:space="0" w:color="auto"/>
        <w:right w:val="none" w:sz="0" w:space="0" w:color="auto"/>
      </w:divBdr>
    </w:div>
    <w:div w:id="190729463">
      <w:bodyDiv w:val="1"/>
      <w:marLeft w:val="0"/>
      <w:marRight w:val="0"/>
      <w:marTop w:val="0"/>
      <w:marBottom w:val="0"/>
      <w:divBdr>
        <w:top w:val="none" w:sz="0" w:space="0" w:color="auto"/>
        <w:left w:val="none" w:sz="0" w:space="0" w:color="auto"/>
        <w:bottom w:val="none" w:sz="0" w:space="0" w:color="auto"/>
        <w:right w:val="none" w:sz="0" w:space="0" w:color="auto"/>
      </w:divBdr>
      <w:divsChild>
        <w:div w:id="1841851369">
          <w:marLeft w:val="547"/>
          <w:marRight w:val="0"/>
          <w:marTop w:val="134"/>
          <w:marBottom w:val="0"/>
          <w:divBdr>
            <w:top w:val="none" w:sz="0" w:space="0" w:color="auto"/>
            <w:left w:val="none" w:sz="0" w:space="0" w:color="auto"/>
            <w:bottom w:val="none" w:sz="0" w:space="0" w:color="auto"/>
            <w:right w:val="none" w:sz="0" w:space="0" w:color="auto"/>
          </w:divBdr>
        </w:div>
        <w:div w:id="1679234678">
          <w:marLeft w:val="547"/>
          <w:marRight w:val="0"/>
          <w:marTop w:val="134"/>
          <w:marBottom w:val="0"/>
          <w:divBdr>
            <w:top w:val="none" w:sz="0" w:space="0" w:color="auto"/>
            <w:left w:val="none" w:sz="0" w:space="0" w:color="auto"/>
            <w:bottom w:val="none" w:sz="0" w:space="0" w:color="auto"/>
            <w:right w:val="none" w:sz="0" w:space="0" w:color="auto"/>
          </w:divBdr>
        </w:div>
        <w:div w:id="1510288074">
          <w:marLeft w:val="1166"/>
          <w:marRight w:val="0"/>
          <w:marTop w:val="115"/>
          <w:marBottom w:val="0"/>
          <w:divBdr>
            <w:top w:val="none" w:sz="0" w:space="0" w:color="auto"/>
            <w:left w:val="none" w:sz="0" w:space="0" w:color="auto"/>
            <w:bottom w:val="none" w:sz="0" w:space="0" w:color="auto"/>
            <w:right w:val="none" w:sz="0" w:space="0" w:color="auto"/>
          </w:divBdr>
        </w:div>
        <w:div w:id="1022321236">
          <w:marLeft w:val="1166"/>
          <w:marRight w:val="0"/>
          <w:marTop w:val="115"/>
          <w:marBottom w:val="0"/>
          <w:divBdr>
            <w:top w:val="none" w:sz="0" w:space="0" w:color="auto"/>
            <w:left w:val="none" w:sz="0" w:space="0" w:color="auto"/>
            <w:bottom w:val="none" w:sz="0" w:space="0" w:color="auto"/>
            <w:right w:val="none" w:sz="0" w:space="0" w:color="auto"/>
          </w:divBdr>
        </w:div>
        <w:div w:id="372578066">
          <w:marLeft w:val="1166"/>
          <w:marRight w:val="0"/>
          <w:marTop w:val="115"/>
          <w:marBottom w:val="0"/>
          <w:divBdr>
            <w:top w:val="none" w:sz="0" w:space="0" w:color="auto"/>
            <w:left w:val="none" w:sz="0" w:space="0" w:color="auto"/>
            <w:bottom w:val="none" w:sz="0" w:space="0" w:color="auto"/>
            <w:right w:val="none" w:sz="0" w:space="0" w:color="auto"/>
          </w:divBdr>
        </w:div>
      </w:divsChild>
    </w:div>
    <w:div w:id="264851994">
      <w:bodyDiv w:val="1"/>
      <w:marLeft w:val="0"/>
      <w:marRight w:val="0"/>
      <w:marTop w:val="0"/>
      <w:marBottom w:val="0"/>
      <w:divBdr>
        <w:top w:val="none" w:sz="0" w:space="0" w:color="auto"/>
        <w:left w:val="none" w:sz="0" w:space="0" w:color="auto"/>
        <w:bottom w:val="none" w:sz="0" w:space="0" w:color="auto"/>
        <w:right w:val="none" w:sz="0" w:space="0" w:color="auto"/>
      </w:divBdr>
    </w:div>
    <w:div w:id="357705058">
      <w:bodyDiv w:val="1"/>
      <w:marLeft w:val="0"/>
      <w:marRight w:val="0"/>
      <w:marTop w:val="0"/>
      <w:marBottom w:val="0"/>
      <w:divBdr>
        <w:top w:val="none" w:sz="0" w:space="0" w:color="auto"/>
        <w:left w:val="none" w:sz="0" w:space="0" w:color="auto"/>
        <w:bottom w:val="none" w:sz="0" w:space="0" w:color="auto"/>
        <w:right w:val="none" w:sz="0" w:space="0" w:color="auto"/>
      </w:divBdr>
    </w:div>
    <w:div w:id="364598260">
      <w:bodyDiv w:val="1"/>
      <w:marLeft w:val="0"/>
      <w:marRight w:val="0"/>
      <w:marTop w:val="0"/>
      <w:marBottom w:val="0"/>
      <w:divBdr>
        <w:top w:val="none" w:sz="0" w:space="0" w:color="auto"/>
        <w:left w:val="none" w:sz="0" w:space="0" w:color="auto"/>
        <w:bottom w:val="none" w:sz="0" w:space="0" w:color="auto"/>
        <w:right w:val="none" w:sz="0" w:space="0" w:color="auto"/>
      </w:divBdr>
    </w:div>
    <w:div w:id="400492807">
      <w:bodyDiv w:val="1"/>
      <w:marLeft w:val="0"/>
      <w:marRight w:val="0"/>
      <w:marTop w:val="0"/>
      <w:marBottom w:val="0"/>
      <w:divBdr>
        <w:top w:val="none" w:sz="0" w:space="0" w:color="auto"/>
        <w:left w:val="none" w:sz="0" w:space="0" w:color="auto"/>
        <w:bottom w:val="none" w:sz="0" w:space="0" w:color="auto"/>
        <w:right w:val="none" w:sz="0" w:space="0" w:color="auto"/>
      </w:divBdr>
    </w:div>
    <w:div w:id="400567113">
      <w:bodyDiv w:val="1"/>
      <w:marLeft w:val="0"/>
      <w:marRight w:val="0"/>
      <w:marTop w:val="0"/>
      <w:marBottom w:val="0"/>
      <w:divBdr>
        <w:top w:val="none" w:sz="0" w:space="0" w:color="auto"/>
        <w:left w:val="none" w:sz="0" w:space="0" w:color="auto"/>
        <w:bottom w:val="none" w:sz="0" w:space="0" w:color="auto"/>
        <w:right w:val="none" w:sz="0" w:space="0" w:color="auto"/>
      </w:divBdr>
    </w:div>
    <w:div w:id="423960690">
      <w:bodyDiv w:val="1"/>
      <w:marLeft w:val="0"/>
      <w:marRight w:val="0"/>
      <w:marTop w:val="0"/>
      <w:marBottom w:val="0"/>
      <w:divBdr>
        <w:top w:val="none" w:sz="0" w:space="0" w:color="auto"/>
        <w:left w:val="none" w:sz="0" w:space="0" w:color="auto"/>
        <w:bottom w:val="none" w:sz="0" w:space="0" w:color="auto"/>
        <w:right w:val="none" w:sz="0" w:space="0" w:color="auto"/>
      </w:divBdr>
      <w:divsChild>
        <w:div w:id="959338342">
          <w:marLeft w:val="547"/>
          <w:marRight w:val="0"/>
          <w:marTop w:val="96"/>
          <w:marBottom w:val="0"/>
          <w:divBdr>
            <w:top w:val="none" w:sz="0" w:space="0" w:color="auto"/>
            <w:left w:val="none" w:sz="0" w:space="0" w:color="auto"/>
            <w:bottom w:val="none" w:sz="0" w:space="0" w:color="auto"/>
            <w:right w:val="none" w:sz="0" w:space="0" w:color="auto"/>
          </w:divBdr>
        </w:div>
      </w:divsChild>
    </w:div>
    <w:div w:id="514656123">
      <w:bodyDiv w:val="1"/>
      <w:marLeft w:val="0"/>
      <w:marRight w:val="0"/>
      <w:marTop w:val="0"/>
      <w:marBottom w:val="0"/>
      <w:divBdr>
        <w:top w:val="none" w:sz="0" w:space="0" w:color="auto"/>
        <w:left w:val="none" w:sz="0" w:space="0" w:color="auto"/>
        <w:bottom w:val="none" w:sz="0" w:space="0" w:color="auto"/>
        <w:right w:val="none" w:sz="0" w:space="0" w:color="auto"/>
      </w:divBdr>
    </w:div>
    <w:div w:id="686175630">
      <w:bodyDiv w:val="1"/>
      <w:marLeft w:val="0"/>
      <w:marRight w:val="0"/>
      <w:marTop w:val="0"/>
      <w:marBottom w:val="0"/>
      <w:divBdr>
        <w:top w:val="none" w:sz="0" w:space="0" w:color="auto"/>
        <w:left w:val="none" w:sz="0" w:space="0" w:color="auto"/>
        <w:bottom w:val="none" w:sz="0" w:space="0" w:color="auto"/>
        <w:right w:val="none" w:sz="0" w:space="0" w:color="auto"/>
      </w:divBdr>
    </w:div>
    <w:div w:id="701856265">
      <w:bodyDiv w:val="1"/>
      <w:marLeft w:val="0"/>
      <w:marRight w:val="0"/>
      <w:marTop w:val="0"/>
      <w:marBottom w:val="0"/>
      <w:divBdr>
        <w:top w:val="none" w:sz="0" w:space="0" w:color="auto"/>
        <w:left w:val="none" w:sz="0" w:space="0" w:color="auto"/>
        <w:bottom w:val="none" w:sz="0" w:space="0" w:color="auto"/>
        <w:right w:val="none" w:sz="0" w:space="0" w:color="auto"/>
      </w:divBdr>
    </w:div>
    <w:div w:id="741098508">
      <w:bodyDiv w:val="1"/>
      <w:marLeft w:val="0"/>
      <w:marRight w:val="0"/>
      <w:marTop w:val="0"/>
      <w:marBottom w:val="0"/>
      <w:divBdr>
        <w:top w:val="none" w:sz="0" w:space="0" w:color="auto"/>
        <w:left w:val="none" w:sz="0" w:space="0" w:color="auto"/>
        <w:bottom w:val="none" w:sz="0" w:space="0" w:color="auto"/>
        <w:right w:val="none" w:sz="0" w:space="0" w:color="auto"/>
      </w:divBdr>
    </w:div>
    <w:div w:id="741677259">
      <w:bodyDiv w:val="1"/>
      <w:marLeft w:val="0"/>
      <w:marRight w:val="0"/>
      <w:marTop w:val="0"/>
      <w:marBottom w:val="0"/>
      <w:divBdr>
        <w:top w:val="none" w:sz="0" w:space="0" w:color="auto"/>
        <w:left w:val="none" w:sz="0" w:space="0" w:color="auto"/>
        <w:bottom w:val="none" w:sz="0" w:space="0" w:color="auto"/>
        <w:right w:val="none" w:sz="0" w:space="0" w:color="auto"/>
      </w:divBdr>
    </w:div>
    <w:div w:id="781731882">
      <w:bodyDiv w:val="1"/>
      <w:marLeft w:val="0"/>
      <w:marRight w:val="0"/>
      <w:marTop w:val="0"/>
      <w:marBottom w:val="0"/>
      <w:divBdr>
        <w:top w:val="none" w:sz="0" w:space="0" w:color="auto"/>
        <w:left w:val="none" w:sz="0" w:space="0" w:color="auto"/>
        <w:bottom w:val="none" w:sz="0" w:space="0" w:color="auto"/>
        <w:right w:val="none" w:sz="0" w:space="0" w:color="auto"/>
      </w:divBdr>
      <w:divsChild>
        <w:div w:id="2139452237">
          <w:marLeft w:val="547"/>
          <w:marRight w:val="0"/>
          <w:marTop w:val="134"/>
          <w:marBottom w:val="0"/>
          <w:divBdr>
            <w:top w:val="none" w:sz="0" w:space="0" w:color="auto"/>
            <w:left w:val="none" w:sz="0" w:space="0" w:color="auto"/>
            <w:bottom w:val="none" w:sz="0" w:space="0" w:color="auto"/>
            <w:right w:val="none" w:sz="0" w:space="0" w:color="auto"/>
          </w:divBdr>
        </w:div>
        <w:div w:id="587889462">
          <w:marLeft w:val="1166"/>
          <w:marRight w:val="0"/>
          <w:marTop w:val="115"/>
          <w:marBottom w:val="0"/>
          <w:divBdr>
            <w:top w:val="none" w:sz="0" w:space="0" w:color="auto"/>
            <w:left w:val="none" w:sz="0" w:space="0" w:color="auto"/>
            <w:bottom w:val="none" w:sz="0" w:space="0" w:color="auto"/>
            <w:right w:val="none" w:sz="0" w:space="0" w:color="auto"/>
          </w:divBdr>
        </w:div>
        <w:div w:id="1826316525">
          <w:marLeft w:val="1166"/>
          <w:marRight w:val="0"/>
          <w:marTop w:val="115"/>
          <w:marBottom w:val="0"/>
          <w:divBdr>
            <w:top w:val="none" w:sz="0" w:space="0" w:color="auto"/>
            <w:left w:val="none" w:sz="0" w:space="0" w:color="auto"/>
            <w:bottom w:val="none" w:sz="0" w:space="0" w:color="auto"/>
            <w:right w:val="none" w:sz="0" w:space="0" w:color="auto"/>
          </w:divBdr>
        </w:div>
        <w:div w:id="776100956">
          <w:marLeft w:val="1166"/>
          <w:marRight w:val="0"/>
          <w:marTop w:val="115"/>
          <w:marBottom w:val="0"/>
          <w:divBdr>
            <w:top w:val="none" w:sz="0" w:space="0" w:color="auto"/>
            <w:left w:val="none" w:sz="0" w:space="0" w:color="auto"/>
            <w:bottom w:val="none" w:sz="0" w:space="0" w:color="auto"/>
            <w:right w:val="none" w:sz="0" w:space="0" w:color="auto"/>
          </w:divBdr>
        </w:div>
        <w:div w:id="1358191523">
          <w:marLeft w:val="547"/>
          <w:marRight w:val="0"/>
          <w:marTop w:val="134"/>
          <w:marBottom w:val="0"/>
          <w:divBdr>
            <w:top w:val="none" w:sz="0" w:space="0" w:color="auto"/>
            <w:left w:val="none" w:sz="0" w:space="0" w:color="auto"/>
            <w:bottom w:val="none" w:sz="0" w:space="0" w:color="auto"/>
            <w:right w:val="none" w:sz="0" w:space="0" w:color="auto"/>
          </w:divBdr>
        </w:div>
      </w:divsChild>
    </w:div>
    <w:div w:id="819998873">
      <w:bodyDiv w:val="1"/>
      <w:marLeft w:val="0"/>
      <w:marRight w:val="0"/>
      <w:marTop w:val="0"/>
      <w:marBottom w:val="0"/>
      <w:divBdr>
        <w:top w:val="none" w:sz="0" w:space="0" w:color="auto"/>
        <w:left w:val="none" w:sz="0" w:space="0" w:color="auto"/>
        <w:bottom w:val="none" w:sz="0" w:space="0" w:color="auto"/>
        <w:right w:val="none" w:sz="0" w:space="0" w:color="auto"/>
      </w:divBdr>
    </w:div>
    <w:div w:id="1061363134">
      <w:bodyDiv w:val="1"/>
      <w:marLeft w:val="0"/>
      <w:marRight w:val="0"/>
      <w:marTop w:val="0"/>
      <w:marBottom w:val="0"/>
      <w:divBdr>
        <w:top w:val="none" w:sz="0" w:space="0" w:color="auto"/>
        <w:left w:val="none" w:sz="0" w:space="0" w:color="auto"/>
        <w:bottom w:val="none" w:sz="0" w:space="0" w:color="auto"/>
        <w:right w:val="none" w:sz="0" w:space="0" w:color="auto"/>
      </w:divBdr>
    </w:div>
    <w:div w:id="1064766233">
      <w:bodyDiv w:val="1"/>
      <w:marLeft w:val="0"/>
      <w:marRight w:val="0"/>
      <w:marTop w:val="0"/>
      <w:marBottom w:val="0"/>
      <w:divBdr>
        <w:top w:val="none" w:sz="0" w:space="0" w:color="auto"/>
        <w:left w:val="none" w:sz="0" w:space="0" w:color="auto"/>
        <w:bottom w:val="none" w:sz="0" w:space="0" w:color="auto"/>
        <w:right w:val="none" w:sz="0" w:space="0" w:color="auto"/>
      </w:divBdr>
      <w:divsChild>
        <w:div w:id="1272395001">
          <w:marLeft w:val="547"/>
          <w:marRight w:val="0"/>
          <w:marTop w:val="134"/>
          <w:marBottom w:val="0"/>
          <w:divBdr>
            <w:top w:val="none" w:sz="0" w:space="0" w:color="auto"/>
            <w:left w:val="none" w:sz="0" w:space="0" w:color="auto"/>
            <w:bottom w:val="none" w:sz="0" w:space="0" w:color="auto"/>
            <w:right w:val="none" w:sz="0" w:space="0" w:color="auto"/>
          </w:divBdr>
        </w:div>
        <w:div w:id="1847279699">
          <w:marLeft w:val="1166"/>
          <w:marRight w:val="0"/>
          <w:marTop w:val="115"/>
          <w:marBottom w:val="0"/>
          <w:divBdr>
            <w:top w:val="none" w:sz="0" w:space="0" w:color="auto"/>
            <w:left w:val="none" w:sz="0" w:space="0" w:color="auto"/>
            <w:bottom w:val="none" w:sz="0" w:space="0" w:color="auto"/>
            <w:right w:val="none" w:sz="0" w:space="0" w:color="auto"/>
          </w:divBdr>
        </w:div>
      </w:divsChild>
    </w:div>
    <w:div w:id="1093092905">
      <w:bodyDiv w:val="1"/>
      <w:marLeft w:val="0"/>
      <w:marRight w:val="0"/>
      <w:marTop w:val="0"/>
      <w:marBottom w:val="0"/>
      <w:divBdr>
        <w:top w:val="none" w:sz="0" w:space="0" w:color="auto"/>
        <w:left w:val="none" w:sz="0" w:space="0" w:color="auto"/>
        <w:bottom w:val="none" w:sz="0" w:space="0" w:color="auto"/>
        <w:right w:val="none" w:sz="0" w:space="0" w:color="auto"/>
      </w:divBdr>
    </w:div>
    <w:div w:id="1131245458">
      <w:bodyDiv w:val="1"/>
      <w:marLeft w:val="0"/>
      <w:marRight w:val="0"/>
      <w:marTop w:val="0"/>
      <w:marBottom w:val="0"/>
      <w:divBdr>
        <w:top w:val="none" w:sz="0" w:space="0" w:color="auto"/>
        <w:left w:val="none" w:sz="0" w:space="0" w:color="auto"/>
        <w:bottom w:val="none" w:sz="0" w:space="0" w:color="auto"/>
        <w:right w:val="none" w:sz="0" w:space="0" w:color="auto"/>
      </w:divBdr>
      <w:divsChild>
        <w:div w:id="1652828642">
          <w:marLeft w:val="0"/>
          <w:marRight w:val="0"/>
          <w:marTop w:val="0"/>
          <w:marBottom w:val="0"/>
          <w:divBdr>
            <w:top w:val="none" w:sz="0" w:space="0" w:color="auto"/>
            <w:left w:val="none" w:sz="0" w:space="0" w:color="auto"/>
            <w:bottom w:val="none" w:sz="0" w:space="0" w:color="auto"/>
            <w:right w:val="none" w:sz="0" w:space="0" w:color="auto"/>
          </w:divBdr>
        </w:div>
        <w:div w:id="353507942">
          <w:marLeft w:val="0"/>
          <w:marRight w:val="0"/>
          <w:marTop w:val="0"/>
          <w:marBottom w:val="0"/>
          <w:divBdr>
            <w:top w:val="none" w:sz="0" w:space="0" w:color="auto"/>
            <w:left w:val="none" w:sz="0" w:space="0" w:color="auto"/>
            <w:bottom w:val="none" w:sz="0" w:space="0" w:color="auto"/>
            <w:right w:val="none" w:sz="0" w:space="0" w:color="auto"/>
          </w:divBdr>
          <w:divsChild>
            <w:div w:id="758408426">
              <w:marLeft w:val="0"/>
              <w:marRight w:val="0"/>
              <w:marTop w:val="0"/>
              <w:marBottom w:val="0"/>
              <w:divBdr>
                <w:top w:val="none" w:sz="0" w:space="0" w:color="auto"/>
                <w:left w:val="none" w:sz="0" w:space="0" w:color="auto"/>
                <w:bottom w:val="none" w:sz="0" w:space="0" w:color="auto"/>
                <w:right w:val="none" w:sz="0" w:space="0" w:color="auto"/>
              </w:divBdr>
              <w:divsChild>
                <w:div w:id="1113090380">
                  <w:marLeft w:val="300"/>
                  <w:marRight w:val="0"/>
                  <w:marTop w:val="0"/>
                  <w:marBottom w:val="0"/>
                  <w:divBdr>
                    <w:top w:val="none" w:sz="0" w:space="0" w:color="auto"/>
                    <w:left w:val="none" w:sz="0" w:space="0" w:color="auto"/>
                    <w:bottom w:val="none" w:sz="0" w:space="0" w:color="auto"/>
                    <w:right w:val="none" w:sz="0" w:space="0" w:color="auto"/>
                  </w:divBdr>
                  <w:divsChild>
                    <w:div w:id="2009941933">
                      <w:marLeft w:val="-300"/>
                      <w:marRight w:val="0"/>
                      <w:marTop w:val="0"/>
                      <w:marBottom w:val="0"/>
                      <w:divBdr>
                        <w:top w:val="none" w:sz="0" w:space="0" w:color="auto"/>
                        <w:left w:val="none" w:sz="0" w:space="0" w:color="auto"/>
                        <w:bottom w:val="none" w:sz="0" w:space="0" w:color="auto"/>
                        <w:right w:val="none" w:sz="0" w:space="0" w:color="auto"/>
                      </w:divBdr>
                      <w:divsChild>
                        <w:div w:id="1595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992076">
      <w:bodyDiv w:val="1"/>
      <w:marLeft w:val="0"/>
      <w:marRight w:val="0"/>
      <w:marTop w:val="0"/>
      <w:marBottom w:val="0"/>
      <w:divBdr>
        <w:top w:val="none" w:sz="0" w:space="0" w:color="auto"/>
        <w:left w:val="none" w:sz="0" w:space="0" w:color="auto"/>
        <w:bottom w:val="none" w:sz="0" w:space="0" w:color="auto"/>
        <w:right w:val="none" w:sz="0" w:space="0" w:color="auto"/>
      </w:divBdr>
    </w:div>
    <w:div w:id="1233344698">
      <w:bodyDiv w:val="1"/>
      <w:marLeft w:val="0"/>
      <w:marRight w:val="0"/>
      <w:marTop w:val="0"/>
      <w:marBottom w:val="0"/>
      <w:divBdr>
        <w:top w:val="none" w:sz="0" w:space="0" w:color="auto"/>
        <w:left w:val="none" w:sz="0" w:space="0" w:color="auto"/>
        <w:bottom w:val="none" w:sz="0" w:space="0" w:color="auto"/>
        <w:right w:val="none" w:sz="0" w:space="0" w:color="auto"/>
      </w:divBdr>
    </w:div>
    <w:div w:id="1273052285">
      <w:bodyDiv w:val="1"/>
      <w:marLeft w:val="0"/>
      <w:marRight w:val="0"/>
      <w:marTop w:val="0"/>
      <w:marBottom w:val="0"/>
      <w:divBdr>
        <w:top w:val="none" w:sz="0" w:space="0" w:color="auto"/>
        <w:left w:val="none" w:sz="0" w:space="0" w:color="auto"/>
        <w:bottom w:val="none" w:sz="0" w:space="0" w:color="auto"/>
        <w:right w:val="none" w:sz="0" w:space="0" w:color="auto"/>
      </w:divBdr>
    </w:div>
    <w:div w:id="1342507544">
      <w:bodyDiv w:val="1"/>
      <w:marLeft w:val="0"/>
      <w:marRight w:val="0"/>
      <w:marTop w:val="0"/>
      <w:marBottom w:val="0"/>
      <w:divBdr>
        <w:top w:val="none" w:sz="0" w:space="0" w:color="auto"/>
        <w:left w:val="none" w:sz="0" w:space="0" w:color="auto"/>
        <w:bottom w:val="none" w:sz="0" w:space="0" w:color="auto"/>
        <w:right w:val="none" w:sz="0" w:space="0" w:color="auto"/>
      </w:divBdr>
    </w:div>
    <w:div w:id="1399668823">
      <w:bodyDiv w:val="1"/>
      <w:marLeft w:val="0"/>
      <w:marRight w:val="0"/>
      <w:marTop w:val="0"/>
      <w:marBottom w:val="0"/>
      <w:divBdr>
        <w:top w:val="none" w:sz="0" w:space="0" w:color="auto"/>
        <w:left w:val="none" w:sz="0" w:space="0" w:color="auto"/>
        <w:bottom w:val="none" w:sz="0" w:space="0" w:color="auto"/>
        <w:right w:val="none" w:sz="0" w:space="0" w:color="auto"/>
      </w:divBdr>
    </w:div>
    <w:div w:id="1415082524">
      <w:bodyDiv w:val="1"/>
      <w:marLeft w:val="0"/>
      <w:marRight w:val="0"/>
      <w:marTop w:val="0"/>
      <w:marBottom w:val="0"/>
      <w:divBdr>
        <w:top w:val="none" w:sz="0" w:space="0" w:color="auto"/>
        <w:left w:val="none" w:sz="0" w:space="0" w:color="auto"/>
        <w:bottom w:val="none" w:sz="0" w:space="0" w:color="auto"/>
        <w:right w:val="none" w:sz="0" w:space="0" w:color="auto"/>
      </w:divBdr>
      <w:divsChild>
        <w:div w:id="1115176112">
          <w:marLeft w:val="547"/>
          <w:marRight w:val="0"/>
          <w:marTop w:val="96"/>
          <w:marBottom w:val="0"/>
          <w:divBdr>
            <w:top w:val="none" w:sz="0" w:space="0" w:color="auto"/>
            <w:left w:val="none" w:sz="0" w:space="0" w:color="auto"/>
            <w:bottom w:val="none" w:sz="0" w:space="0" w:color="auto"/>
            <w:right w:val="none" w:sz="0" w:space="0" w:color="auto"/>
          </w:divBdr>
        </w:div>
      </w:divsChild>
    </w:div>
    <w:div w:id="1425951930">
      <w:bodyDiv w:val="1"/>
      <w:marLeft w:val="0"/>
      <w:marRight w:val="0"/>
      <w:marTop w:val="0"/>
      <w:marBottom w:val="0"/>
      <w:divBdr>
        <w:top w:val="none" w:sz="0" w:space="0" w:color="auto"/>
        <w:left w:val="none" w:sz="0" w:space="0" w:color="auto"/>
        <w:bottom w:val="none" w:sz="0" w:space="0" w:color="auto"/>
        <w:right w:val="none" w:sz="0" w:space="0" w:color="auto"/>
      </w:divBdr>
      <w:divsChild>
        <w:div w:id="1485318369">
          <w:marLeft w:val="547"/>
          <w:marRight w:val="0"/>
          <w:marTop w:val="96"/>
          <w:marBottom w:val="0"/>
          <w:divBdr>
            <w:top w:val="none" w:sz="0" w:space="0" w:color="auto"/>
            <w:left w:val="none" w:sz="0" w:space="0" w:color="auto"/>
            <w:bottom w:val="none" w:sz="0" w:space="0" w:color="auto"/>
            <w:right w:val="none" w:sz="0" w:space="0" w:color="auto"/>
          </w:divBdr>
        </w:div>
      </w:divsChild>
    </w:div>
    <w:div w:id="1462575036">
      <w:bodyDiv w:val="1"/>
      <w:marLeft w:val="0"/>
      <w:marRight w:val="0"/>
      <w:marTop w:val="0"/>
      <w:marBottom w:val="0"/>
      <w:divBdr>
        <w:top w:val="none" w:sz="0" w:space="0" w:color="auto"/>
        <w:left w:val="none" w:sz="0" w:space="0" w:color="auto"/>
        <w:bottom w:val="none" w:sz="0" w:space="0" w:color="auto"/>
        <w:right w:val="none" w:sz="0" w:space="0" w:color="auto"/>
      </w:divBdr>
    </w:div>
    <w:div w:id="1711302741">
      <w:bodyDiv w:val="1"/>
      <w:marLeft w:val="0"/>
      <w:marRight w:val="0"/>
      <w:marTop w:val="0"/>
      <w:marBottom w:val="0"/>
      <w:divBdr>
        <w:top w:val="none" w:sz="0" w:space="0" w:color="auto"/>
        <w:left w:val="none" w:sz="0" w:space="0" w:color="auto"/>
        <w:bottom w:val="none" w:sz="0" w:space="0" w:color="auto"/>
        <w:right w:val="none" w:sz="0" w:space="0" w:color="auto"/>
      </w:divBdr>
      <w:divsChild>
        <w:div w:id="805121652">
          <w:marLeft w:val="547"/>
          <w:marRight w:val="0"/>
          <w:marTop w:val="86"/>
          <w:marBottom w:val="0"/>
          <w:divBdr>
            <w:top w:val="none" w:sz="0" w:space="0" w:color="auto"/>
            <w:left w:val="none" w:sz="0" w:space="0" w:color="auto"/>
            <w:bottom w:val="none" w:sz="0" w:space="0" w:color="auto"/>
            <w:right w:val="none" w:sz="0" w:space="0" w:color="auto"/>
          </w:divBdr>
        </w:div>
        <w:div w:id="1946496253">
          <w:marLeft w:val="547"/>
          <w:marRight w:val="0"/>
          <w:marTop w:val="86"/>
          <w:marBottom w:val="0"/>
          <w:divBdr>
            <w:top w:val="none" w:sz="0" w:space="0" w:color="auto"/>
            <w:left w:val="none" w:sz="0" w:space="0" w:color="auto"/>
            <w:bottom w:val="none" w:sz="0" w:space="0" w:color="auto"/>
            <w:right w:val="none" w:sz="0" w:space="0" w:color="auto"/>
          </w:divBdr>
        </w:div>
        <w:div w:id="1250852789">
          <w:marLeft w:val="547"/>
          <w:marRight w:val="0"/>
          <w:marTop w:val="86"/>
          <w:marBottom w:val="0"/>
          <w:divBdr>
            <w:top w:val="none" w:sz="0" w:space="0" w:color="auto"/>
            <w:left w:val="none" w:sz="0" w:space="0" w:color="auto"/>
            <w:bottom w:val="none" w:sz="0" w:space="0" w:color="auto"/>
            <w:right w:val="none" w:sz="0" w:space="0" w:color="auto"/>
          </w:divBdr>
        </w:div>
        <w:div w:id="1138257667">
          <w:marLeft w:val="547"/>
          <w:marRight w:val="0"/>
          <w:marTop w:val="86"/>
          <w:marBottom w:val="0"/>
          <w:divBdr>
            <w:top w:val="none" w:sz="0" w:space="0" w:color="auto"/>
            <w:left w:val="none" w:sz="0" w:space="0" w:color="auto"/>
            <w:bottom w:val="none" w:sz="0" w:space="0" w:color="auto"/>
            <w:right w:val="none" w:sz="0" w:space="0" w:color="auto"/>
          </w:divBdr>
        </w:div>
      </w:divsChild>
    </w:div>
    <w:div w:id="1772048450">
      <w:bodyDiv w:val="1"/>
      <w:marLeft w:val="0"/>
      <w:marRight w:val="0"/>
      <w:marTop w:val="0"/>
      <w:marBottom w:val="0"/>
      <w:divBdr>
        <w:top w:val="none" w:sz="0" w:space="0" w:color="auto"/>
        <w:left w:val="none" w:sz="0" w:space="0" w:color="auto"/>
        <w:bottom w:val="none" w:sz="0" w:space="0" w:color="auto"/>
        <w:right w:val="none" w:sz="0" w:space="0" w:color="auto"/>
      </w:divBdr>
    </w:div>
    <w:div w:id="1780296359">
      <w:bodyDiv w:val="1"/>
      <w:marLeft w:val="0"/>
      <w:marRight w:val="0"/>
      <w:marTop w:val="0"/>
      <w:marBottom w:val="0"/>
      <w:divBdr>
        <w:top w:val="none" w:sz="0" w:space="0" w:color="auto"/>
        <w:left w:val="none" w:sz="0" w:space="0" w:color="auto"/>
        <w:bottom w:val="none" w:sz="0" w:space="0" w:color="auto"/>
        <w:right w:val="none" w:sz="0" w:space="0" w:color="auto"/>
      </w:divBdr>
    </w:div>
    <w:div w:id="1995377043">
      <w:bodyDiv w:val="1"/>
      <w:marLeft w:val="0"/>
      <w:marRight w:val="0"/>
      <w:marTop w:val="0"/>
      <w:marBottom w:val="0"/>
      <w:divBdr>
        <w:top w:val="none" w:sz="0" w:space="0" w:color="auto"/>
        <w:left w:val="none" w:sz="0" w:space="0" w:color="auto"/>
        <w:bottom w:val="none" w:sz="0" w:space="0" w:color="auto"/>
        <w:right w:val="none" w:sz="0" w:space="0" w:color="auto"/>
      </w:divBdr>
    </w:div>
    <w:div w:id="2010793857">
      <w:bodyDiv w:val="1"/>
      <w:marLeft w:val="0"/>
      <w:marRight w:val="0"/>
      <w:marTop w:val="0"/>
      <w:marBottom w:val="0"/>
      <w:divBdr>
        <w:top w:val="none" w:sz="0" w:space="0" w:color="auto"/>
        <w:left w:val="none" w:sz="0" w:space="0" w:color="auto"/>
        <w:bottom w:val="none" w:sz="0" w:space="0" w:color="auto"/>
        <w:right w:val="none" w:sz="0" w:space="0" w:color="auto"/>
      </w:divBdr>
    </w:div>
    <w:div w:id="2021811429">
      <w:bodyDiv w:val="1"/>
      <w:marLeft w:val="0"/>
      <w:marRight w:val="0"/>
      <w:marTop w:val="0"/>
      <w:marBottom w:val="0"/>
      <w:divBdr>
        <w:top w:val="none" w:sz="0" w:space="0" w:color="auto"/>
        <w:left w:val="none" w:sz="0" w:space="0" w:color="auto"/>
        <w:bottom w:val="none" w:sz="0" w:space="0" w:color="auto"/>
        <w:right w:val="none" w:sz="0" w:space="0" w:color="auto"/>
      </w:divBdr>
    </w:div>
    <w:div w:id="20229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NL</cp:lastModifiedBy>
  <cp:revision>8</cp:revision>
  <dcterms:created xsi:type="dcterms:W3CDTF">2021-10-23T15:28:00Z</dcterms:created>
  <dcterms:modified xsi:type="dcterms:W3CDTF">2021-10-23T17:43:00Z</dcterms:modified>
</cp:coreProperties>
</file>