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95BA" w14:textId="72FD3CA2" w:rsidR="005E3EF6" w:rsidRPr="005E3EF6" w:rsidRDefault="005E3EF6" w:rsidP="005E3EF6">
      <w:pPr>
        <w:spacing w:before="240"/>
        <w:rPr>
          <w:rFonts w:cstheme="minorHAnsi"/>
          <w:color w:val="C00000"/>
          <w:sz w:val="20"/>
          <w:szCs w:val="20"/>
          <w:shd w:val="clear" w:color="auto" w:fill="FFFFFF"/>
        </w:rPr>
      </w:pPr>
      <w:r w:rsidRPr="005E3EF6">
        <w:rPr>
          <w:rFonts w:cstheme="minorHAnsi"/>
          <w:color w:val="C00000"/>
          <w:sz w:val="20"/>
          <w:szCs w:val="20"/>
          <w:shd w:val="clear" w:color="auto" w:fill="FFFFFF"/>
        </w:rPr>
        <w:t>Chapter 1, from Ross, A (Ed) 2021,</w:t>
      </w:r>
      <w:r w:rsidRPr="005E3EF6">
        <w:rPr>
          <w:rFonts w:cstheme="minorHAnsi"/>
          <w:i/>
          <w:iCs/>
          <w:color w:val="C00000"/>
          <w:sz w:val="20"/>
          <w:szCs w:val="20"/>
          <w:shd w:val="clear" w:color="auto" w:fill="FFFFFF"/>
        </w:rPr>
        <w:t>Educational Research for Soc</w:t>
      </w:r>
      <w:r>
        <w:rPr>
          <w:rFonts w:cstheme="minorHAnsi"/>
          <w:i/>
          <w:iCs/>
          <w:color w:val="C00000"/>
          <w:sz w:val="20"/>
          <w:szCs w:val="20"/>
          <w:shd w:val="clear" w:color="auto" w:fill="FFFFFF"/>
        </w:rPr>
        <w:t>i</w:t>
      </w:r>
      <w:r w:rsidRPr="005E3EF6">
        <w:rPr>
          <w:rFonts w:cstheme="minorHAnsi"/>
          <w:i/>
          <w:iCs/>
          <w:color w:val="C00000"/>
          <w:sz w:val="20"/>
          <w:szCs w:val="20"/>
          <w:shd w:val="clear" w:color="auto" w:fill="FFFFFF"/>
        </w:rPr>
        <w:t>al Justice: Evidence and practice from the UK</w:t>
      </w:r>
      <w:r w:rsidRPr="005E3EF6">
        <w:rPr>
          <w:rFonts w:cstheme="minorHAnsi"/>
          <w:color w:val="C00000"/>
          <w:sz w:val="20"/>
          <w:szCs w:val="20"/>
          <w:shd w:val="clear" w:color="auto" w:fill="FFFFFF"/>
        </w:rPr>
        <w:t xml:space="preserve">.  Cham: Springer, pages 1-28  [Volume one in the series </w:t>
      </w:r>
      <w:r w:rsidRPr="005E3EF6">
        <w:rPr>
          <w:rFonts w:cstheme="minorHAnsi"/>
          <w:i/>
          <w:iCs/>
          <w:color w:val="C00000"/>
          <w:sz w:val="20"/>
          <w:szCs w:val="20"/>
          <w:shd w:val="clear" w:color="auto" w:fill="FFFFFF"/>
        </w:rPr>
        <w:t>Education Science, Evidence and the Public Good</w:t>
      </w:r>
      <w:r w:rsidRPr="005E3EF6">
        <w:rPr>
          <w:rFonts w:cstheme="minorHAnsi"/>
          <w:color w:val="C00000"/>
          <w:sz w:val="20"/>
          <w:szCs w:val="20"/>
          <w:shd w:val="clear" w:color="auto" w:fill="FFFFFF"/>
        </w:rPr>
        <w:t>: World Educational Research Association)</w:t>
      </w:r>
    </w:p>
    <w:p w14:paraId="034260D3" w14:textId="73ED8B18" w:rsidR="00AC2F6C" w:rsidRDefault="00AC2F6C" w:rsidP="00504A9C">
      <w:pPr>
        <w:pStyle w:val="Heading1"/>
      </w:pPr>
      <w:r>
        <w:t>Chapter 1</w:t>
      </w:r>
    </w:p>
    <w:p w14:paraId="68840057" w14:textId="2B2AEB30" w:rsidR="00504A9C" w:rsidRPr="008814D3" w:rsidRDefault="00504A9C" w:rsidP="00504A9C">
      <w:pPr>
        <w:pStyle w:val="Heading1"/>
      </w:pPr>
      <w:r w:rsidRPr="00A22D3C">
        <w:t xml:space="preserve">What </w:t>
      </w:r>
      <w:r w:rsidR="00126346" w:rsidRPr="00A22D3C">
        <w:t>do</w:t>
      </w:r>
      <w:r w:rsidR="00EF220E">
        <w:t xml:space="preserve"> </w:t>
      </w:r>
      <w:r w:rsidR="00126346" w:rsidRPr="00A22D3C">
        <w:t>educational science and the public good mean in the c</w:t>
      </w:r>
      <w:r w:rsidR="00126346" w:rsidRPr="008814D3">
        <w:t>ontext of educational research for soc</w:t>
      </w:r>
      <w:r w:rsidR="00F40CDC" w:rsidRPr="008814D3">
        <w:t>ial justice</w:t>
      </w:r>
      <w:r w:rsidRPr="008814D3">
        <w:t>?</w:t>
      </w:r>
    </w:p>
    <w:p w14:paraId="4D41DF3F" w14:textId="081A1F76" w:rsidR="003E0F08" w:rsidRPr="00126346" w:rsidRDefault="00127935" w:rsidP="003E0F08">
      <w:pPr>
        <w:rPr>
          <w:i/>
          <w:iCs/>
          <w:szCs w:val="22"/>
        </w:rPr>
      </w:pPr>
      <w:r w:rsidRPr="00126346">
        <w:rPr>
          <w:i/>
          <w:iCs/>
          <w:szCs w:val="22"/>
        </w:rPr>
        <w:t>A</w:t>
      </w:r>
      <w:r w:rsidR="00504A9C" w:rsidRPr="00126346">
        <w:rPr>
          <w:i/>
          <w:iCs/>
          <w:szCs w:val="22"/>
        </w:rPr>
        <w:t>listair Ross</w:t>
      </w:r>
      <w:r w:rsidR="00CA0AEB">
        <w:rPr>
          <w:i/>
          <w:iCs/>
          <w:szCs w:val="22"/>
        </w:rPr>
        <w:t xml:space="preserve"> </w:t>
      </w:r>
    </w:p>
    <w:p w14:paraId="3B24ECE1" w14:textId="77777777" w:rsidR="00127935" w:rsidRPr="008814D3" w:rsidRDefault="00127935" w:rsidP="003E0F08">
      <w:pPr>
        <w:rPr>
          <w:szCs w:val="22"/>
        </w:rPr>
      </w:pPr>
    </w:p>
    <w:p w14:paraId="67597FF1" w14:textId="59151E99" w:rsidR="00D543E0" w:rsidRPr="008814D3" w:rsidRDefault="003E0F08" w:rsidP="003E0F08">
      <w:pPr>
        <w:pStyle w:val="Heading2"/>
      </w:pPr>
      <w:r w:rsidRPr="008814D3">
        <w:t>Abstract</w:t>
      </w:r>
    </w:p>
    <w:p w14:paraId="40A4B4EA" w14:textId="77777777" w:rsidR="005E5997" w:rsidRPr="008814D3" w:rsidRDefault="005E5997" w:rsidP="008F6B15"/>
    <w:p w14:paraId="1209CAF1" w14:textId="622E2E71" w:rsidR="001D62B2" w:rsidRPr="008814D3" w:rsidRDefault="001D62B2" w:rsidP="0060299B">
      <w:pPr>
        <w:shd w:val="clear" w:color="auto" w:fill="FFFFFF"/>
        <w:spacing w:after="120"/>
        <w:ind w:left="720"/>
        <w:rPr>
          <w:rFonts w:ascii="Calibri" w:hAnsi="Calibri" w:cs="Calibri"/>
          <w:szCs w:val="22"/>
        </w:rPr>
      </w:pPr>
      <w:r w:rsidRPr="008814D3">
        <w:rPr>
          <w:rFonts w:ascii="Calibri" w:hAnsi="Calibri" w:cs="Calibri"/>
          <w:szCs w:val="22"/>
        </w:rPr>
        <w:t xml:space="preserve">This book has been </w:t>
      </w:r>
      <w:r w:rsidR="00EF220E">
        <w:rPr>
          <w:rFonts w:ascii="Calibri" w:hAnsi="Calibri" w:cs="Calibri"/>
          <w:szCs w:val="22"/>
        </w:rPr>
        <w:t>wri</w:t>
      </w:r>
      <w:r w:rsidR="00DA3808">
        <w:rPr>
          <w:rFonts w:ascii="Calibri" w:hAnsi="Calibri" w:cs="Calibri"/>
          <w:szCs w:val="22"/>
        </w:rPr>
        <w:t>t</w:t>
      </w:r>
      <w:r w:rsidR="00EF220E">
        <w:rPr>
          <w:rFonts w:ascii="Calibri" w:hAnsi="Calibri" w:cs="Calibri"/>
          <w:szCs w:val="22"/>
        </w:rPr>
        <w:t>ten</w:t>
      </w:r>
      <w:r w:rsidRPr="008814D3">
        <w:rPr>
          <w:rFonts w:ascii="Calibri" w:hAnsi="Calibri" w:cs="Calibri"/>
          <w:szCs w:val="22"/>
        </w:rPr>
        <w:t xml:space="preserve"> by a group of researchers who worked together variously over 2000–2015, who broadly share a commitment to educational research that leads to social justice. This introductory chapter sets out what we understand social justice to mean, and how this gives a particular connotation to the terms ‘educational science’ and ‘the public good’.</w:t>
      </w:r>
      <w:r w:rsidR="00CA0AEB">
        <w:rPr>
          <w:rFonts w:ascii="Calibri" w:hAnsi="Calibri" w:cs="Calibri"/>
          <w:szCs w:val="22"/>
        </w:rPr>
        <w:t xml:space="preserve"> </w:t>
      </w:r>
      <w:r w:rsidRPr="008814D3">
        <w:rPr>
          <w:rFonts w:ascii="Calibri" w:hAnsi="Calibri" w:cs="Calibri"/>
          <w:szCs w:val="22"/>
        </w:rPr>
        <w:t xml:space="preserve">We </w:t>
      </w:r>
      <w:r w:rsidRPr="008814D3">
        <w:rPr>
          <w:rFonts w:ascii="Calibri" w:hAnsi="Calibri" w:cs="Calibri"/>
          <w:color w:val="222222"/>
          <w:szCs w:val="22"/>
        </w:rPr>
        <w:t>share the same approach to the nature of educational</w:t>
      </w:r>
      <w:r w:rsidR="00A70CC4">
        <w:rPr>
          <w:rFonts w:ascii="Calibri" w:hAnsi="Calibri" w:cs="Calibri"/>
          <w:color w:val="222222"/>
          <w:szCs w:val="22"/>
        </w:rPr>
        <w:t xml:space="preserve"> policy</w:t>
      </w:r>
      <w:r w:rsidRPr="008814D3">
        <w:rPr>
          <w:rFonts w:ascii="Calibri" w:hAnsi="Calibri" w:cs="Calibri"/>
          <w:color w:val="222222"/>
          <w:szCs w:val="22"/>
        </w:rPr>
        <w:t xml:space="preserve"> research and its purposes, namely that it should be designed and conducted with the intention of</w:t>
      </w:r>
      <w:r w:rsidR="003115B3">
        <w:rPr>
          <w:rFonts w:ascii="Calibri" w:hAnsi="Calibri" w:cs="Calibri"/>
          <w:color w:val="222222"/>
          <w:szCs w:val="22"/>
        </w:rPr>
        <w:t xml:space="preserve"> illuminating or </w:t>
      </w:r>
      <w:r w:rsidRPr="008814D3">
        <w:rPr>
          <w:rFonts w:ascii="Calibri" w:hAnsi="Calibri" w:cs="Calibri"/>
          <w:color w:val="222222"/>
          <w:szCs w:val="22"/>
        </w:rPr>
        <w:t xml:space="preserve">having an effect on public educational policy, and that this effect should be generally to counter the inequalities between the treatment and outcomes of different social groups within society, whether those groups were determined with respect to class, gender, ethnicity, disability, </w:t>
      </w:r>
      <w:r w:rsidR="00D471CB" w:rsidRPr="008814D3">
        <w:rPr>
          <w:rFonts w:ascii="Calibri" w:hAnsi="Calibri" w:cs="Calibri"/>
          <w:color w:val="222222"/>
          <w:szCs w:val="22"/>
        </w:rPr>
        <w:t>and other social categories</w:t>
      </w:r>
      <w:r w:rsidRPr="008814D3">
        <w:rPr>
          <w:rFonts w:ascii="Calibri" w:hAnsi="Calibri" w:cs="Calibri"/>
          <w:color w:val="222222"/>
          <w:szCs w:val="22"/>
        </w:rPr>
        <w:t>.</w:t>
      </w:r>
      <w:r w:rsidR="006C38C1">
        <w:rPr>
          <w:rFonts w:ascii="Calibri" w:hAnsi="Calibri" w:cs="Calibri"/>
          <w:color w:val="222222"/>
          <w:szCs w:val="22"/>
        </w:rPr>
        <w:t xml:space="preserve"> </w:t>
      </w:r>
      <w:r w:rsidRPr="008814D3">
        <w:rPr>
          <w:rFonts w:ascii="Calibri" w:hAnsi="Calibri" w:cs="Calibri"/>
          <w:color w:val="222222"/>
          <w:szCs w:val="22"/>
        </w:rPr>
        <w:t>These values, we argue, are central and critical components of our professional and intellectual research and judgments. They contribute to what we conceive of as the public good: a society in which structural inequalities are minimised</w:t>
      </w:r>
      <w:r w:rsidR="007D7D13">
        <w:rPr>
          <w:rFonts w:ascii="Calibri" w:hAnsi="Calibri" w:cs="Calibri"/>
          <w:color w:val="222222"/>
          <w:szCs w:val="22"/>
        </w:rPr>
        <w:t>;</w:t>
      </w:r>
      <w:r w:rsidRPr="008814D3">
        <w:rPr>
          <w:rFonts w:ascii="Calibri" w:hAnsi="Calibri" w:cs="Calibri"/>
          <w:color w:val="222222"/>
          <w:szCs w:val="22"/>
        </w:rPr>
        <w:t xml:space="preserve"> where diverse identities are valued</w:t>
      </w:r>
      <w:r w:rsidR="00104FDE">
        <w:rPr>
          <w:rFonts w:ascii="Calibri" w:hAnsi="Calibri" w:cs="Calibri"/>
          <w:color w:val="222222"/>
          <w:szCs w:val="22"/>
        </w:rPr>
        <w:t>;</w:t>
      </w:r>
      <w:r w:rsidRPr="008814D3">
        <w:rPr>
          <w:rFonts w:ascii="Calibri" w:hAnsi="Calibri" w:cs="Calibri"/>
          <w:color w:val="222222"/>
          <w:szCs w:val="22"/>
        </w:rPr>
        <w:t xml:space="preserve"> outcomes (educational and other) for individuals and groups are broadly equal</w:t>
      </w:r>
      <w:r w:rsidR="00104FDE">
        <w:rPr>
          <w:rFonts w:ascii="Calibri" w:hAnsi="Calibri" w:cs="Calibri"/>
          <w:color w:val="222222"/>
          <w:szCs w:val="22"/>
        </w:rPr>
        <w:t>;</w:t>
      </w:r>
      <w:r w:rsidRPr="008814D3">
        <w:rPr>
          <w:rFonts w:ascii="Calibri" w:hAnsi="Calibri" w:cs="Calibri"/>
          <w:color w:val="222222"/>
          <w:szCs w:val="22"/>
        </w:rPr>
        <w:t xml:space="preserve"> all individuals are valued and have agency</w:t>
      </w:r>
      <w:r w:rsidR="00104FDE">
        <w:rPr>
          <w:rFonts w:ascii="Calibri" w:hAnsi="Calibri" w:cs="Calibri"/>
          <w:color w:val="222222"/>
          <w:szCs w:val="22"/>
        </w:rPr>
        <w:t>;</w:t>
      </w:r>
      <w:r w:rsidRPr="008814D3">
        <w:rPr>
          <w:rFonts w:ascii="Calibri" w:hAnsi="Calibri" w:cs="Calibri"/>
          <w:color w:val="222222"/>
          <w:szCs w:val="22"/>
        </w:rPr>
        <w:t xml:space="preserve"> and all members of society are engaged and empowered.</w:t>
      </w:r>
    </w:p>
    <w:p w14:paraId="1E9BD6CD" w14:textId="1E42720C" w:rsidR="002F708C" w:rsidRPr="008814D3" w:rsidRDefault="002F708C" w:rsidP="008F6B15"/>
    <w:p w14:paraId="28C80DD5" w14:textId="1DC7760E" w:rsidR="002F708C" w:rsidRPr="008814D3" w:rsidRDefault="002F708C" w:rsidP="008F6B15"/>
    <w:p w14:paraId="0808AA1E" w14:textId="7F24A1C8" w:rsidR="002F708C" w:rsidRPr="008814D3" w:rsidRDefault="00FA676E" w:rsidP="00472167">
      <w:pPr>
        <w:pStyle w:val="Heading2"/>
      </w:pPr>
      <w:r w:rsidRPr="008814D3">
        <w:t>Our purposes</w:t>
      </w:r>
      <w:r w:rsidR="00CA0AEB">
        <w:t xml:space="preserve"> </w:t>
      </w:r>
    </w:p>
    <w:p w14:paraId="06584C99" w14:textId="77777777" w:rsidR="002F708C" w:rsidRPr="008814D3" w:rsidRDefault="002F708C">
      <w:pPr>
        <w:rPr>
          <w:rFonts w:cstheme="minorHAnsi"/>
          <w:szCs w:val="22"/>
        </w:rPr>
      </w:pPr>
    </w:p>
    <w:p w14:paraId="59035F3A" w14:textId="1A494180"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 xml:space="preserve">This book has been </w:t>
      </w:r>
      <w:r w:rsidR="00104FDE">
        <w:rPr>
          <w:rFonts w:ascii="Calibri" w:hAnsi="Calibri" w:cs="Calibri"/>
          <w:szCs w:val="22"/>
        </w:rPr>
        <w:t>written</w:t>
      </w:r>
      <w:r w:rsidRPr="008814D3">
        <w:rPr>
          <w:rFonts w:ascii="Calibri" w:hAnsi="Calibri" w:cs="Calibri"/>
          <w:szCs w:val="22"/>
        </w:rPr>
        <w:t xml:space="preserve"> by a group of researchers who worked together variously </w:t>
      </w:r>
      <w:r w:rsidR="006A7C6B">
        <w:rPr>
          <w:rFonts w:ascii="Calibri" w:hAnsi="Calibri" w:cs="Calibri"/>
          <w:szCs w:val="22"/>
        </w:rPr>
        <w:t>between</w:t>
      </w:r>
      <w:r w:rsidRPr="008814D3">
        <w:rPr>
          <w:rFonts w:ascii="Calibri" w:hAnsi="Calibri" w:cs="Calibri"/>
          <w:szCs w:val="22"/>
        </w:rPr>
        <w:t xml:space="preserve"> 2000</w:t>
      </w:r>
      <w:r w:rsidR="006A7C6B">
        <w:rPr>
          <w:rFonts w:ascii="Calibri" w:hAnsi="Calibri" w:cs="Calibri"/>
          <w:szCs w:val="22"/>
        </w:rPr>
        <w:t xml:space="preserve"> and </w:t>
      </w:r>
      <w:r w:rsidR="007A7C27">
        <w:rPr>
          <w:rFonts w:ascii="Calibri" w:hAnsi="Calibri" w:cs="Calibri"/>
          <w:szCs w:val="22"/>
        </w:rPr>
        <w:t>2</w:t>
      </w:r>
      <w:r w:rsidRPr="008814D3">
        <w:rPr>
          <w:rFonts w:ascii="Calibri" w:hAnsi="Calibri" w:cs="Calibri"/>
          <w:szCs w:val="22"/>
        </w:rPr>
        <w:t xml:space="preserve">015, who broadly share a commitment to educational research that leads to social justice. Our joint work was in a single research institution – the Institute for Policy Studies in Education (IPSE) </w:t>
      </w:r>
      <w:r w:rsidR="006C38C1">
        <w:rPr>
          <w:rFonts w:ascii="Calibri" w:hAnsi="Calibri" w:cs="Calibri"/>
          <w:szCs w:val="22"/>
        </w:rPr>
        <w:t>–</w:t>
      </w:r>
      <w:r w:rsidRPr="008814D3">
        <w:rPr>
          <w:rFonts w:ascii="Calibri" w:hAnsi="Calibri" w:cs="Calibri"/>
          <w:szCs w:val="22"/>
        </w:rPr>
        <w:t xml:space="preserve"> based in London Metropolitan University (UK), which collaborated with researchers across the UK and Europe, some of whom contribute here.</w:t>
      </w:r>
      <w:r w:rsidR="00CA0AEB">
        <w:rPr>
          <w:rFonts w:ascii="Calibri" w:hAnsi="Calibri" w:cs="Calibri"/>
          <w:szCs w:val="22"/>
        </w:rPr>
        <w:t xml:space="preserve"> </w:t>
      </w:r>
      <w:r w:rsidRPr="008814D3">
        <w:rPr>
          <w:rFonts w:ascii="Calibri" w:hAnsi="Calibri" w:cs="Calibri"/>
          <w:szCs w:val="22"/>
        </w:rPr>
        <w:t>Most of our work was funded by policy-oriented institutions, who commissioned research to meet particular briefs; some work was investigator-led, funded by research councils and foundations.</w:t>
      </w:r>
      <w:r w:rsidR="00CA0AEB">
        <w:rPr>
          <w:rFonts w:ascii="Calibri" w:hAnsi="Calibri" w:cs="Calibri"/>
          <w:szCs w:val="22"/>
        </w:rPr>
        <w:t xml:space="preserve"> </w:t>
      </w:r>
      <w:r w:rsidRPr="008814D3">
        <w:rPr>
          <w:rFonts w:ascii="Calibri" w:hAnsi="Calibri" w:cs="Calibri"/>
          <w:szCs w:val="22"/>
        </w:rPr>
        <w:t>We were established and developed as a research institute with a specific focus on contributing to social justice and equity in educational policy.</w:t>
      </w:r>
      <w:r w:rsidR="00CA0AEB">
        <w:rPr>
          <w:rFonts w:ascii="Calibri" w:hAnsi="Calibri" w:cs="Calibri"/>
          <w:szCs w:val="22"/>
        </w:rPr>
        <w:t xml:space="preserve"> </w:t>
      </w:r>
      <w:r w:rsidRPr="008814D3">
        <w:rPr>
          <w:rFonts w:ascii="Calibri" w:hAnsi="Calibri" w:cs="Calibri"/>
          <w:szCs w:val="22"/>
        </w:rPr>
        <w:t xml:space="preserve">We are thus a group of scholars who share the same approach to the nature of </w:t>
      </w:r>
      <w:r w:rsidR="00104FDE">
        <w:rPr>
          <w:rFonts w:ascii="Calibri" w:hAnsi="Calibri" w:cs="Calibri"/>
          <w:szCs w:val="22"/>
        </w:rPr>
        <w:t xml:space="preserve">this kind of </w:t>
      </w:r>
      <w:r w:rsidRPr="008814D3">
        <w:rPr>
          <w:rFonts w:ascii="Calibri" w:hAnsi="Calibri" w:cs="Calibri"/>
          <w:szCs w:val="22"/>
        </w:rPr>
        <w:t>educational research and its purposes, namely that it should be designed and conducted with the intention of having an effect on public educational policy, and that this effect should be generally to counter the inequalities between the treatment and outcomes of different social groups within society, whether those groups were determined with respect to class, gender, ethnicity, disability, etc.</w:t>
      </w:r>
      <w:r w:rsidR="006C38C1">
        <w:rPr>
          <w:rFonts w:ascii="Calibri" w:hAnsi="Calibri" w:cs="Calibri"/>
          <w:szCs w:val="22"/>
        </w:rPr>
        <w:t xml:space="preserve"> </w:t>
      </w:r>
      <w:r w:rsidRPr="008814D3">
        <w:rPr>
          <w:rFonts w:ascii="Calibri" w:hAnsi="Calibri" w:cs="Calibri"/>
          <w:szCs w:val="22"/>
        </w:rPr>
        <w:t xml:space="preserve">This chapter sets out what we understand the terms social justice and equity to mean, and how this gives particular connotations to the </w:t>
      </w:r>
      <w:proofErr w:type="gramStart"/>
      <w:r w:rsidRPr="008814D3">
        <w:rPr>
          <w:rFonts w:ascii="Calibri" w:hAnsi="Calibri" w:cs="Calibri"/>
          <w:szCs w:val="22"/>
        </w:rPr>
        <w:t>terms</w:t>
      </w:r>
      <w:proofErr w:type="gramEnd"/>
      <w:r w:rsidRPr="008814D3">
        <w:rPr>
          <w:rFonts w:ascii="Calibri" w:hAnsi="Calibri" w:cs="Calibri"/>
          <w:szCs w:val="22"/>
        </w:rPr>
        <w:t xml:space="preserve"> ‘evidence’, ‘educational science’ and ‘the public good’.</w:t>
      </w:r>
    </w:p>
    <w:p w14:paraId="7169291B" w14:textId="03DA48FF" w:rsidR="005F3433" w:rsidRPr="008814D3" w:rsidRDefault="005F3433" w:rsidP="00E8255E">
      <w:pPr>
        <w:shd w:val="clear" w:color="auto" w:fill="FFFFFF"/>
        <w:rPr>
          <w:rFonts w:ascii="Calibri" w:hAnsi="Calibri" w:cs="Calibri"/>
          <w:szCs w:val="22"/>
        </w:rPr>
      </w:pPr>
    </w:p>
    <w:p w14:paraId="6A5AE65E" w14:textId="692E1513"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 xml:space="preserve">We begin by setting out our objectives in writing this volume. We intend to justify a particular perception of knowledge and understanding of educational enquiry and research, examining </w:t>
      </w:r>
      <w:r w:rsidRPr="008814D3">
        <w:rPr>
          <w:rFonts w:ascii="Calibri" w:hAnsi="Calibri" w:cs="Calibri"/>
          <w:szCs w:val="22"/>
        </w:rPr>
        <w:lastRenderedPageBreak/>
        <w:t>through practical examples its foundations, validity and limits, based on the values of social justice and equity which we acknowledge in our approaches to educational inquiry, to our analysis and findings. These values, we argue, are central and critical components of our professional and intellectual research and judgments. They contribute to what we conceive of as the public good: a society in which structural inequalities are minimised, in which diverse identities are valued, and the outcomes (educational and other) for groups are broadly equal</w:t>
      </w:r>
      <w:r w:rsidR="008F6C4F">
        <w:rPr>
          <w:rFonts w:ascii="Calibri" w:hAnsi="Calibri" w:cs="Calibri"/>
          <w:szCs w:val="22"/>
        </w:rPr>
        <w:t>. A</w:t>
      </w:r>
      <w:r w:rsidRPr="008814D3">
        <w:rPr>
          <w:rFonts w:ascii="Calibri" w:hAnsi="Calibri" w:cs="Calibri"/>
          <w:szCs w:val="22"/>
        </w:rPr>
        <w:t>ll individuals are valued and have agency, and all members of society are engaged and empowered.</w:t>
      </w:r>
      <w:r w:rsidR="00CA0AEB">
        <w:rPr>
          <w:rFonts w:ascii="Calibri" w:hAnsi="Calibri" w:cs="Calibri"/>
          <w:szCs w:val="22"/>
        </w:rPr>
        <w:t xml:space="preserve"> </w:t>
      </w:r>
    </w:p>
    <w:p w14:paraId="3C44A434" w14:textId="77777777" w:rsidR="005F3433" w:rsidRPr="008814D3" w:rsidRDefault="005F3433" w:rsidP="00E8255E">
      <w:pPr>
        <w:shd w:val="clear" w:color="auto" w:fill="FFFFFF"/>
        <w:rPr>
          <w:rFonts w:ascii="Calibri" w:hAnsi="Calibri" w:cs="Calibri"/>
          <w:szCs w:val="22"/>
        </w:rPr>
      </w:pPr>
    </w:p>
    <w:p w14:paraId="305C22A1" w14:textId="05D06A8F"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Secondly, we set out our understanding of social justice and equity, particularly as they affect educational policies and practice in the settings and contexts in which we work.</w:t>
      </w:r>
      <w:r w:rsidR="00CA0AEB">
        <w:rPr>
          <w:rFonts w:ascii="Calibri" w:hAnsi="Calibri" w:cs="Calibri"/>
          <w:szCs w:val="22"/>
        </w:rPr>
        <w:t xml:space="preserve"> </w:t>
      </w:r>
      <w:r w:rsidRPr="008814D3">
        <w:rPr>
          <w:rFonts w:ascii="Calibri" w:hAnsi="Calibri" w:cs="Calibri"/>
          <w:szCs w:val="22"/>
        </w:rPr>
        <w:t>This is based on a critique of the ways in which educational ‘efficiency’ is seen to trump equity in policy-making.</w:t>
      </w:r>
      <w:r w:rsidR="00CA0AEB">
        <w:rPr>
          <w:rFonts w:ascii="Calibri" w:hAnsi="Calibri" w:cs="Calibri"/>
          <w:szCs w:val="22"/>
        </w:rPr>
        <w:t xml:space="preserve"> </w:t>
      </w:r>
      <w:r w:rsidRPr="008814D3">
        <w:rPr>
          <w:rFonts w:ascii="Calibri" w:hAnsi="Calibri" w:cs="Calibri"/>
          <w:szCs w:val="22"/>
        </w:rPr>
        <w:t xml:space="preserve">We challenge the promotion of educational institutions as participants in the competition of league tables, and of individual learners in a zero-sum game of meritocracy. We argue that these are based on instrumental views of education and a human capital model of education that essentialises, commodifies and values a particular form of education that </w:t>
      </w:r>
      <w:r w:rsidR="006A0918">
        <w:rPr>
          <w:rFonts w:ascii="Calibri" w:hAnsi="Calibri" w:cs="Calibri"/>
          <w:szCs w:val="22"/>
        </w:rPr>
        <w:t xml:space="preserve">is </w:t>
      </w:r>
      <w:r w:rsidRPr="008814D3">
        <w:rPr>
          <w:rFonts w:ascii="Calibri" w:hAnsi="Calibri" w:cs="Calibri"/>
          <w:szCs w:val="22"/>
        </w:rPr>
        <w:t>underpi</w:t>
      </w:r>
      <w:r w:rsidR="008F1B17">
        <w:rPr>
          <w:rFonts w:ascii="Calibri" w:hAnsi="Calibri" w:cs="Calibri"/>
          <w:szCs w:val="22"/>
        </w:rPr>
        <w:t>nned by</w:t>
      </w:r>
      <w:r w:rsidRPr="008814D3">
        <w:rPr>
          <w:rFonts w:ascii="Calibri" w:hAnsi="Calibri" w:cs="Calibri"/>
          <w:szCs w:val="22"/>
        </w:rPr>
        <w:t xml:space="preserve"> neoliberal ideology.</w:t>
      </w:r>
      <w:r w:rsidR="00CA0AEB">
        <w:rPr>
          <w:rFonts w:ascii="Calibri" w:hAnsi="Calibri" w:cs="Calibri"/>
          <w:szCs w:val="22"/>
        </w:rPr>
        <w:t xml:space="preserve"> </w:t>
      </w:r>
    </w:p>
    <w:p w14:paraId="59A935C1" w14:textId="77777777" w:rsidR="005F3433" w:rsidRPr="008814D3" w:rsidRDefault="005F3433" w:rsidP="00E8255E">
      <w:pPr>
        <w:shd w:val="clear" w:color="auto" w:fill="FFFFFF"/>
        <w:rPr>
          <w:rFonts w:ascii="Calibri" w:hAnsi="Calibri" w:cs="Calibri"/>
          <w:szCs w:val="22"/>
        </w:rPr>
      </w:pPr>
    </w:p>
    <w:p w14:paraId="4B8020F4" w14:textId="02AB6E88"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Thirdly, we examine how such an understanding impacts on the meaning and nature of educational science.</w:t>
      </w:r>
      <w:r w:rsidR="00CA0AEB">
        <w:rPr>
          <w:rFonts w:ascii="Calibri" w:hAnsi="Calibri" w:cs="Calibri"/>
          <w:szCs w:val="22"/>
        </w:rPr>
        <w:t xml:space="preserve"> </w:t>
      </w:r>
      <w:r w:rsidRPr="008814D3">
        <w:rPr>
          <w:rFonts w:ascii="Calibri" w:hAnsi="Calibri" w:cs="Calibri"/>
          <w:szCs w:val="22"/>
        </w:rPr>
        <w:t>Educational practice is contingent and contextual, taking place through a myriad of social interchanges between learners and learners, and teachers and learners.</w:t>
      </w:r>
      <w:r w:rsidR="00CA0AEB">
        <w:rPr>
          <w:rFonts w:ascii="Calibri" w:hAnsi="Calibri" w:cs="Calibri"/>
          <w:szCs w:val="22"/>
        </w:rPr>
        <w:t xml:space="preserve"> </w:t>
      </w:r>
      <w:r w:rsidRPr="008814D3">
        <w:rPr>
          <w:rFonts w:ascii="Calibri" w:hAnsi="Calibri" w:cs="Calibri"/>
          <w:szCs w:val="22"/>
        </w:rPr>
        <w:t>Their circumstances and settings mean that they are not necessarily reproducible, and are thus not part of those branches of science that require results to be replicated.</w:t>
      </w:r>
      <w:r w:rsidR="00CA0AEB">
        <w:rPr>
          <w:rFonts w:ascii="Calibri" w:hAnsi="Calibri" w:cs="Calibri"/>
          <w:szCs w:val="22"/>
        </w:rPr>
        <w:t xml:space="preserve"> </w:t>
      </w:r>
      <w:r w:rsidRPr="008814D3">
        <w:rPr>
          <w:rFonts w:ascii="Calibri" w:hAnsi="Calibri" w:cs="Calibri"/>
          <w:szCs w:val="22"/>
        </w:rPr>
        <w:t xml:space="preserve">Our scientific approach to education recognises this, and seeks to examine and describe the </w:t>
      </w:r>
      <w:r w:rsidR="00654C4A">
        <w:rPr>
          <w:rFonts w:ascii="Calibri" w:hAnsi="Calibri" w:cs="Calibri"/>
          <w:szCs w:val="22"/>
        </w:rPr>
        <w:t>constraints</w:t>
      </w:r>
      <w:r w:rsidRPr="008814D3">
        <w:rPr>
          <w:rFonts w:ascii="Calibri" w:hAnsi="Calibri" w:cs="Calibri"/>
          <w:szCs w:val="22"/>
        </w:rPr>
        <w:t xml:space="preserve"> of </w:t>
      </w:r>
      <w:r w:rsidR="004F6130">
        <w:rPr>
          <w:rFonts w:ascii="Calibri" w:hAnsi="Calibri" w:cs="Calibri"/>
          <w:szCs w:val="22"/>
        </w:rPr>
        <w:t xml:space="preserve">particular kinds of </w:t>
      </w:r>
      <w:r w:rsidRPr="008814D3">
        <w:rPr>
          <w:rFonts w:ascii="Calibri" w:hAnsi="Calibri" w:cs="Calibri"/>
          <w:szCs w:val="22"/>
        </w:rPr>
        <w:t>dat</w:t>
      </w:r>
      <w:r w:rsidR="004F6130">
        <w:rPr>
          <w:rFonts w:ascii="Calibri" w:hAnsi="Calibri" w:cs="Calibri"/>
          <w:szCs w:val="22"/>
        </w:rPr>
        <w:t>a</w:t>
      </w:r>
      <w:r w:rsidRPr="008814D3">
        <w:rPr>
          <w:rFonts w:ascii="Calibri" w:hAnsi="Calibri" w:cs="Calibri"/>
          <w:szCs w:val="22"/>
        </w:rPr>
        <w:t>, and to use this to both qualify and illuminate our analysis.</w:t>
      </w:r>
      <w:r w:rsidR="00CA0AEB">
        <w:rPr>
          <w:rFonts w:ascii="Calibri" w:hAnsi="Calibri" w:cs="Calibri"/>
          <w:szCs w:val="22"/>
        </w:rPr>
        <w:t xml:space="preserve"> </w:t>
      </w:r>
      <w:r w:rsidRPr="008814D3">
        <w:rPr>
          <w:rFonts w:ascii="Calibri" w:hAnsi="Calibri" w:cs="Calibri"/>
          <w:szCs w:val="22"/>
        </w:rPr>
        <w:t>The social construction of social structures and processes means that terms and categories are imprecise and may be understood in a variety of ways: the quantification of social categories needs to be approached with caution (and is not infrequently used by the state as a means of control and surveillance); but they can nevertheless be used in educational research in a heuristic manner.</w:t>
      </w:r>
      <w:r w:rsidR="00CA0AEB">
        <w:rPr>
          <w:rFonts w:ascii="Calibri" w:hAnsi="Calibri" w:cs="Calibri"/>
          <w:szCs w:val="22"/>
        </w:rPr>
        <w:t xml:space="preserve"> </w:t>
      </w:r>
      <w:r w:rsidRPr="008814D3">
        <w:rPr>
          <w:rFonts w:ascii="Calibri" w:hAnsi="Calibri" w:cs="Calibri"/>
          <w:szCs w:val="22"/>
        </w:rPr>
        <w:t>We also recognise and try to account for structural inequalities in our research approaches.</w:t>
      </w:r>
    </w:p>
    <w:p w14:paraId="0D7D0371" w14:textId="77777777" w:rsidR="005F3433" w:rsidRPr="008814D3" w:rsidRDefault="005F3433" w:rsidP="00E8255E">
      <w:pPr>
        <w:shd w:val="clear" w:color="auto" w:fill="FFFFFF"/>
        <w:rPr>
          <w:rFonts w:ascii="Calibri" w:hAnsi="Calibri" w:cs="Calibri"/>
          <w:szCs w:val="22"/>
        </w:rPr>
      </w:pPr>
    </w:p>
    <w:p w14:paraId="0FF9AE84" w14:textId="34F94AE8"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Fourthly, we consider how our understanding of social justice influences our construction of the public good.</w:t>
      </w:r>
      <w:r w:rsidR="00CA0AEB">
        <w:rPr>
          <w:rFonts w:ascii="Calibri" w:hAnsi="Calibri" w:cs="Calibri"/>
          <w:szCs w:val="22"/>
        </w:rPr>
        <w:t xml:space="preserve"> </w:t>
      </w:r>
      <w:r w:rsidRPr="008814D3">
        <w:rPr>
          <w:rFonts w:ascii="Calibri" w:hAnsi="Calibri" w:cs="Calibri"/>
          <w:szCs w:val="22"/>
        </w:rPr>
        <w:t>We question whether and to what extent state institutions – even in those countries</w:t>
      </w:r>
      <w:r w:rsidR="00CA0AEB">
        <w:rPr>
          <w:rFonts w:ascii="Calibri" w:hAnsi="Calibri" w:cs="Calibri"/>
          <w:szCs w:val="22"/>
        </w:rPr>
        <w:t xml:space="preserve"> </w:t>
      </w:r>
      <w:r w:rsidRPr="008814D3">
        <w:rPr>
          <w:rFonts w:ascii="Calibri" w:hAnsi="Calibri" w:cs="Calibri"/>
          <w:szCs w:val="22"/>
        </w:rPr>
        <w:t>that profess to be liberal democracies – can be seen as necessarily in a position to define the public good.</w:t>
      </w:r>
      <w:r w:rsidR="00CA0AEB">
        <w:rPr>
          <w:rFonts w:ascii="Calibri" w:hAnsi="Calibri" w:cs="Calibri"/>
          <w:szCs w:val="22"/>
        </w:rPr>
        <w:t xml:space="preserve"> </w:t>
      </w:r>
      <w:r w:rsidRPr="008814D3">
        <w:rPr>
          <w:rFonts w:ascii="Calibri" w:hAnsi="Calibri" w:cs="Calibri"/>
          <w:szCs w:val="22"/>
        </w:rPr>
        <w:t xml:space="preserve">The way in which such states have embraced international competitive league tables of ‘educational performance’ illustrates </w:t>
      </w:r>
      <w:r w:rsidRPr="008814D3">
        <w:rPr>
          <w:rFonts w:cstheme="minorHAnsi"/>
          <w:szCs w:val="22"/>
        </w:rPr>
        <w:t>how the notion that education should be based around individual needs and aspirations has been overtaken by an assumption that league table success will lead to improved economic outcomes.</w:t>
      </w:r>
      <w:r w:rsidRPr="008814D3">
        <w:rPr>
          <w:rFonts w:ascii="Calibri" w:hAnsi="Calibri" w:cs="Calibri"/>
          <w:szCs w:val="22"/>
        </w:rPr>
        <w:t xml:space="preserve"> There are many very germane examples of this in current UK government policies in education, most notably in England. </w:t>
      </w:r>
    </w:p>
    <w:p w14:paraId="78A8B4B9" w14:textId="77777777" w:rsidR="005F3433" w:rsidRPr="008814D3" w:rsidRDefault="005F3433" w:rsidP="00E8255E">
      <w:pPr>
        <w:shd w:val="clear" w:color="auto" w:fill="FFFFFF"/>
        <w:rPr>
          <w:rFonts w:ascii="Calibri" w:hAnsi="Calibri" w:cs="Calibri"/>
          <w:szCs w:val="22"/>
        </w:rPr>
      </w:pPr>
    </w:p>
    <w:p w14:paraId="7B2A14F0" w14:textId="6370AED5"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The emphasis on equality of opportunity over equality of outcomes is, we believe, used to justify social inequalities by victimising weaker social groups and constructing them as the authors of their own misfortunes.</w:t>
      </w:r>
      <w:r w:rsidR="00CA0AEB">
        <w:rPr>
          <w:rFonts w:ascii="Calibri" w:hAnsi="Calibri" w:cs="Calibri"/>
          <w:szCs w:val="22"/>
        </w:rPr>
        <w:t xml:space="preserve"> </w:t>
      </w:r>
      <w:r w:rsidRPr="008814D3">
        <w:rPr>
          <w:rFonts w:ascii="Calibri" w:hAnsi="Calibri" w:cs="Calibri"/>
          <w:szCs w:val="22"/>
        </w:rPr>
        <w:t>Our research tries to identify structural inequalities and point to their significance in educational outcomes, and is based on the premise that, if there are inequalities between groups, there should be a presumption that there are institutional prejudices behind this</w:t>
      </w:r>
      <w:r w:rsidR="00423EDB">
        <w:rPr>
          <w:rFonts w:ascii="Calibri" w:hAnsi="Calibri" w:cs="Calibri"/>
          <w:szCs w:val="22"/>
        </w:rPr>
        <w:t>, at school</w:t>
      </w:r>
      <w:r w:rsidR="000539EF">
        <w:rPr>
          <w:rFonts w:ascii="Calibri" w:hAnsi="Calibri" w:cs="Calibri"/>
          <w:szCs w:val="22"/>
        </w:rPr>
        <w:t xml:space="preserve"> and</w:t>
      </w:r>
      <w:r w:rsidR="00423EDB">
        <w:rPr>
          <w:rFonts w:ascii="Calibri" w:hAnsi="Calibri" w:cs="Calibri"/>
          <w:szCs w:val="22"/>
        </w:rPr>
        <w:t xml:space="preserve"> policy </w:t>
      </w:r>
      <w:r w:rsidR="000539EF">
        <w:rPr>
          <w:rFonts w:ascii="Calibri" w:hAnsi="Calibri" w:cs="Calibri"/>
          <w:szCs w:val="22"/>
        </w:rPr>
        <w:t xml:space="preserve">levels, and in </w:t>
      </w:r>
      <w:r w:rsidR="007413C6">
        <w:rPr>
          <w:rFonts w:ascii="Calibri" w:hAnsi="Calibri" w:cs="Calibri"/>
          <w:szCs w:val="22"/>
        </w:rPr>
        <w:t xml:space="preserve">wider society </w:t>
      </w:r>
      <w:r w:rsidRPr="008814D3">
        <w:rPr>
          <w:rFonts w:ascii="Calibri" w:hAnsi="Calibri" w:cs="Calibri"/>
          <w:szCs w:val="22"/>
        </w:rPr>
        <w:t>(albeit possibly unwitting and unintended prejudices).</w:t>
      </w:r>
    </w:p>
    <w:p w14:paraId="18724595" w14:textId="77777777" w:rsidR="005F3433" w:rsidRPr="008814D3" w:rsidRDefault="005F3433" w:rsidP="00E8255E">
      <w:pPr>
        <w:shd w:val="clear" w:color="auto" w:fill="FFFFFF"/>
        <w:rPr>
          <w:rFonts w:ascii="Calibri" w:hAnsi="Calibri" w:cs="Calibri"/>
          <w:szCs w:val="22"/>
        </w:rPr>
      </w:pPr>
    </w:p>
    <w:p w14:paraId="72E42B7C" w14:textId="4D3E3E05"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We then briefly describe our own institutional setting, focusing particularly on the processes by which we operated.</w:t>
      </w:r>
      <w:r w:rsidR="00CA0AEB">
        <w:rPr>
          <w:rFonts w:ascii="Calibri" w:hAnsi="Calibri" w:cs="Calibri"/>
          <w:szCs w:val="22"/>
        </w:rPr>
        <w:t xml:space="preserve"> </w:t>
      </w:r>
      <w:r w:rsidRPr="008814D3">
        <w:rPr>
          <w:rFonts w:ascii="Calibri" w:hAnsi="Calibri" w:cs="Calibri"/>
          <w:szCs w:val="22"/>
        </w:rPr>
        <w:t>How we developed our research practice, how we recruited, and how we operated: all of these may help the reader understand how and why we believe that using educational research in the ways we describe can contribute to specifically democratic, humanistic and values-based educational development for individuals, groups and societies. This is followed by an outline of the structure of the book and the individual contributions within it.</w:t>
      </w:r>
    </w:p>
    <w:p w14:paraId="36652364" w14:textId="77777777" w:rsidR="005F3433" w:rsidRPr="008814D3" w:rsidRDefault="005F3433" w:rsidP="00E8255E">
      <w:pPr>
        <w:shd w:val="clear" w:color="auto" w:fill="FFFFFF"/>
        <w:rPr>
          <w:rFonts w:ascii="Calibri" w:hAnsi="Calibri" w:cs="Calibri"/>
          <w:szCs w:val="22"/>
        </w:rPr>
      </w:pPr>
    </w:p>
    <w:p w14:paraId="610B8A2B" w14:textId="77777777" w:rsidR="005F3433" w:rsidRPr="008814D3" w:rsidRDefault="005F3433" w:rsidP="00E8255E">
      <w:pPr>
        <w:shd w:val="clear" w:color="auto" w:fill="FFFFFF"/>
        <w:rPr>
          <w:rFonts w:ascii="Calibri" w:hAnsi="Calibri" w:cs="Calibri"/>
          <w:szCs w:val="22"/>
        </w:rPr>
      </w:pPr>
    </w:p>
    <w:p w14:paraId="12C08178" w14:textId="77777777" w:rsidR="005F3433" w:rsidRPr="008814D3" w:rsidRDefault="005F3433" w:rsidP="00E8255E">
      <w:pPr>
        <w:pStyle w:val="Heading2"/>
        <w:spacing w:before="0"/>
      </w:pPr>
      <w:r w:rsidRPr="008814D3">
        <w:t>Towards a social justice axiology of education research</w:t>
      </w:r>
      <w:r w:rsidRPr="008814D3">
        <w:rPr>
          <w:i/>
        </w:rPr>
        <w:t xml:space="preserve"> </w:t>
      </w:r>
    </w:p>
    <w:p w14:paraId="6BC66426" w14:textId="77777777" w:rsidR="00B169D3" w:rsidRPr="008814D3" w:rsidRDefault="00B169D3" w:rsidP="00E8255E">
      <w:pPr>
        <w:shd w:val="clear" w:color="auto" w:fill="FFFFFF"/>
        <w:rPr>
          <w:rFonts w:ascii="Calibri" w:hAnsi="Calibri" w:cs="Calibri"/>
          <w:szCs w:val="22"/>
        </w:rPr>
      </w:pPr>
    </w:p>
    <w:p w14:paraId="1C350D55" w14:textId="70E50ED5"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The intention of this book is to challenge what we see as the dominant epistemological norms of educational policy research in the neoliberal context, and to offer some steps towards the re-definition of what might constitute ‘the public good’ that stress the values of social justice and equity rather than the mere summation of each individual member of society’s conception of ‘good’.</w:t>
      </w:r>
      <w:r w:rsidR="00CA0AEB">
        <w:rPr>
          <w:rFonts w:ascii="Calibri" w:hAnsi="Calibri" w:cs="Calibri"/>
          <w:szCs w:val="22"/>
        </w:rPr>
        <w:t xml:space="preserve"> </w:t>
      </w:r>
      <w:r w:rsidRPr="008814D3">
        <w:rPr>
          <w:rFonts w:ascii="Calibri" w:hAnsi="Calibri" w:cs="Calibri"/>
          <w:szCs w:val="22"/>
        </w:rPr>
        <w:t>What are the characteristics of educational research that contribute to our understanding of social value?</w:t>
      </w:r>
      <w:r w:rsidR="00CA0AEB">
        <w:rPr>
          <w:rFonts w:ascii="Calibri" w:hAnsi="Calibri" w:cs="Calibri"/>
          <w:szCs w:val="22"/>
        </w:rPr>
        <w:t xml:space="preserve"> </w:t>
      </w:r>
      <w:r w:rsidRPr="008814D3">
        <w:rPr>
          <w:rFonts w:ascii="Calibri" w:hAnsi="Calibri" w:cs="Calibri"/>
          <w:szCs w:val="22"/>
        </w:rPr>
        <w:t xml:space="preserve">Some of our </w:t>
      </w:r>
      <w:r w:rsidR="00167F9F">
        <w:rPr>
          <w:rFonts w:ascii="Calibri" w:hAnsi="Calibri" w:cs="Calibri"/>
          <w:szCs w:val="22"/>
        </w:rPr>
        <w:t xml:space="preserve">IPSE colleagues </w:t>
      </w:r>
      <w:r w:rsidRPr="008814D3">
        <w:rPr>
          <w:rFonts w:ascii="Calibri" w:hAnsi="Calibri" w:cs="Calibri"/>
          <w:szCs w:val="22"/>
        </w:rPr>
        <w:t xml:space="preserve">have previously considered </w:t>
      </w:r>
      <w:r w:rsidR="00126346">
        <w:rPr>
          <w:rFonts w:ascii="Calibri" w:hAnsi="Calibri" w:cs="Calibri"/>
          <w:szCs w:val="22"/>
        </w:rPr>
        <w:t>‘</w:t>
      </w:r>
      <w:r w:rsidRPr="008814D3">
        <w:rPr>
          <w:rFonts w:ascii="Calibri" w:hAnsi="Calibri" w:cs="Calibri"/>
          <w:szCs w:val="22"/>
        </w:rPr>
        <w:t>what would a socially just educational system look like</w:t>
      </w:r>
      <w:r w:rsidR="00126346">
        <w:rPr>
          <w:rFonts w:ascii="Calibri" w:hAnsi="Calibri" w:cs="Calibri"/>
          <w:szCs w:val="22"/>
        </w:rPr>
        <w:t xml:space="preserve">’ </w:t>
      </w:r>
      <w:r w:rsidRPr="008814D3">
        <w:rPr>
          <w:rFonts w:ascii="Calibri" w:hAnsi="Calibri" w:cs="Calibri"/>
          <w:szCs w:val="22"/>
        </w:rPr>
        <w:t>(Francis and Mills</w:t>
      </w:r>
      <w:r w:rsidR="00B169D3" w:rsidRPr="008814D3">
        <w:rPr>
          <w:rFonts w:ascii="Calibri" w:hAnsi="Calibri" w:cs="Calibri"/>
          <w:szCs w:val="22"/>
        </w:rPr>
        <w:t>,</w:t>
      </w:r>
      <w:r w:rsidRPr="008814D3">
        <w:rPr>
          <w:rFonts w:ascii="Calibri" w:hAnsi="Calibri" w:cs="Calibri"/>
          <w:szCs w:val="22"/>
        </w:rPr>
        <w:t xml:space="preserve"> 2012; also Reay</w:t>
      </w:r>
      <w:r w:rsidR="00B169D3" w:rsidRPr="008814D3">
        <w:rPr>
          <w:rFonts w:ascii="Calibri" w:hAnsi="Calibri" w:cs="Calibri"/>
          <w:szCs w:val="22"/>
        </w:rPr>
        <w:t>,</w:t>
      </w:r>
      <w:r w:rsidRPr="008814D3">
        <w:rPr>
          <w:rFonts w:ascii="Calibri" w:hAnsi="Calibri" w:cs="Calibri"/>
          <w:szCs w:val="22"/>
        </w:rPr>
        <w:t xml:space="preserve"> 2012). Here we consider the same question as applied to educational research. </w:t>
      </w:r>
    </w:p>
    <w:p w14:paraId="3A4D350B" w14:textId="77777777" w:rsidR="005F3433" w:rsidRPr="008814D3" w:rsidRDefault="005F3433" w:rsidP="00E8255E">
      <w:pPr>
        <w:shd w:val="clear" w:color="auto" w:fill="FFFFFF"/>
        <w:rPr>
          <w:rFonts w:ascii="Calibri" w:hAnsi="Calibri" w:cs="Calibri"/>
          <w:szCs w:val="22"/>
        </w:rPr>
      </w:pPr>
    </w:p>
    <w:p w14:paraId="3EF8C58E" w14:textId="5B7DAAD8"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 xml:space="preserve">There has been a long and consistent literature that shows how education systems serve to reproduce and perpetuate social inequalities, from Stan Bowles and Herb Gintis (1976) outlining the correspondence between the practices of schooling and the labour requirements of capitalist production, through Pierre Bourdieu and Jean-Claude </w:t>
      </w:r>
      <w:proofErr w:type="spellStart"/>
      <w:r w:rsidRPr="008814D3">
        <w:rPr>
          <w:rFonts w:ascii="Calibri" w:hAnsi="Calibri" w:cs="Calibri"/>
          <w:szCs w:val="22"/>
        </w:rPr>
        <w:t>Passeron’s</w:t>
      </w:r>
      <w:proofErr w:type="spellEnd"/>
      <w:r w:rsidRPr="008814D3">
        <w:rPr>
          <w:rFonts w:ascii="Calibri" w:hAnsi="Calibri" w:cs="Calibri"/>
          <w:szCs w:val="22"/>
        </w:rPr>
        <w:t xml:space="preserve"> (</w:t>
      </w:r>
      <w:r w:rsidR="00E53572" w:rsidRPr="008814D3">
        <w:rPr>
          <w:rFonts w:ascii="Calibri" w:hAnsi="Calibri" w:cs="Calibri"/>
          <w:szCs w:val="22"/>
        </w:rPr>
        <w:t>1990 [</w:t>
      </w:r>
      <w:r w:rsidRPr="008814D3">
        <w:rPr>
          <w:rFonts w:ascii="Calibri" w:hAnsi="Calibri" w:cs="Calibri"/>
          <w:szCs w:val="22"/>
        </w:rPr>
        <w:t>1970</w:t>
      </w:r>
      <w:r w:rsidR="00E53572" w:rsidRPr="008814D3">
        <w:rPr>
          <w:rFonts w:ascii="Calibri" w:hAnsi="Calibri" w:cs="Calibri"/>
          <w:szCs w:val="22"/>
        </w:rPr>
        <w:t>]</w:t>
      </w:r>
      <w:r w:rsidRPr="008814D3">
        <w:rPr>
          <w:rFonts w:ascii="Calibri" w:hAnsi="Calibri" w:cs="Calibri"/>
          <w:szCs w:val="22"/>
        </w:rPr>
        <w:t xml:space="preserve">) work </w:t>
      </w:r>
      <w:r w:rsidRPr="008814D3">
        <w:rPr>
          <w:rFonts w:ascii="Calibri" w:hAnsi="Calibri" w:cs="Calibri"/>
          <w:i/>
          <w:szCs w:val="22"/>
          <w:shd w:val="clear" w:color="auto" w:fill="FFFFFF"/>
        </w:rPr>
        <w:t>La Reproduction</w:t>
      </w:r>
      <w:r w:rsidRPr="008814D3">
        <w:rPr>
          <w:rFonts w:ascii="Calibri" w:hAnsi="Calibri" w:cs="Calibri"/>
          <w:szCs w:val="22"/>
          <w:shd w:val="clear" w:color="auto" w:fill="FFFFFF"/>
        </w:rPr>
        <w:t>, to the work of Stephen Ball (1994, 2003) and Diane Reay (2017)</w:t>
      </w:r>
      <w:r w:rsidRPr="008814D3">
        <w:rPr>
          <w:rFonts w:ascii="Calibri" w:hAnsi="Calibri" w:cs="Calibri"/>
          <w:szCs w:val="22"/>
        </w:rPr>
        <w:t xml:space="preserve"> on social class and education. Inherent in all of these is not simply a</w:t>
      </w:r>
      <w:r w:rsidRPr="008814D3">
        <w:rPr>
          <w:rFonts w:ascii="Calibri" w:hAnsi="Calibri" w:cs="Calibri"/>
          <w:b/>
          <w:szCs w:val="22"/>
        </w:rPr>
        <w:t xml:space="preserve"> </w:t>
      </w:r>
      <w:r w:rsidRPr="008814D3">
        <w:rPr>
          <w:rFonts w:ascii="Calibri" w:hAnsi="Calibri" w:cs="Calibri"/>
          <w:i/>
          <w:szCs w:val="22"/>
        </w:rPr>
        <w:t xml:space="preserve">description </w:t>
      </w:r>
      <w:r w:rsidRPr="008814D3">
        <w:rPr>
          <w:rFonts w:ascii="Calibri" w:hAnsi="Calibri" w:cs="Calibri"/>
          <w:szCs w:val="22"/>
        </w:rPr>
        <w:t xml:space="preserve">of inequality, but an insistence that policies be devised to </w:t>
      </w:r>
      <w:r w:rsidRPr="008814D3">
        <w:rPr>
          <w:rFonts w:ascii="Calibri" w:hAnsi="Calibri" w:cs="Calibri"/>
          <w:i/>
          <w:szCs w:val="22"/>
        </w:rPr>
        <w:t xml:space="preserve">change </w:t>
      </w:r>
      <w:r w:rsidRPr="008814D3">
        <w:rPr>
          <w:rFonts w:ascii="Calibri" w:hAnsi="Calibri" w:cs="Calibri"/>
          <w:szCs w:val="22"/>
        </w:rPr>
        <w:t>this.</w:t>
      </w:r>
      <w:r w:rsidR="00CA0AEB">
        <w:rPr>
          <w:rFonts w:ascii="Calibri" w:hAnsi="Calibri" w:cs="Calibri"/>
          <w:szCs w:val="22"/>
        </w:rPr>
        <w:t xml:space="preserve"> </w:t>
      </w:r>
      <w:r w:rsidRPr="008814D3">
        <w:rPr>
          <w:rFonts w:ascii="Calibri" w:hAnsi="Calibri" w:cs="Calibri"/>
          <w:szCs w:val="22"/>
        </w:rPr>
        <w:t xml:space="preserve">There has been an equally distinguished – though less voluminous – literature on social justice in education and educational research. The contributions in </w:t>
      </w:r>
      <w:r w:rsidR="00A210C8">
        <w:rPr>
          <w:rFonts w:ascii="Calibri" w:hAnsi="Calibri" w:cs="Calibri"/>
          <w:szCs w:val="22"/>
        </w:rPr>
        <w:t xml:space="preserve">Morwenna </w:t>
      </w:r>
      <w:r w:rsidRPr="008814D3">
        <w:rPr>
          <w:rFonts w:ascii="Calibri" w:hAnsi="Calibri" w:cs="Calibri"/>
          <w:szCs w:val="22"/>
        </w:rPr>
        <w:t>Griffiths (2003) explored the tensions between striving for and implementing equality while also acknowledging individual and group differences.</w:t>
      </w:r>
      <w:r w:rsidR="00CA0AEB">
        <w:rPr>
          <w:rFonts w:ascii="Calibri" w:hAnsi="Calibri" w:cs="Calibri"/>
          <w:szCs w:val="22"/>
        </w:rPr>
        <w:t xml:space="preserve"> </w:t>
      </w:r>
      <w:r w:rsidR="00A210C8">
        <w:rPr>
          <w:rFonts w:ascii="Calibri" w:hAnsi="Calibri" w:cs="Calibri"/>
          <w:szCs w:val="22"/>
        </w:rPr>
        <w:t xml:space="preserve">Carol </w:t>
      </w:r>
      <w:r w:rsidRPr="008814D3">
        <w:rPr>
          <w:rFonts w:ascii="Calibri" w:hAnsi="Calibri" w:cs="Calibri"/>
          <w:szCs w:val="22"/>
        </w:rPr>
        <w:t>Vincent (2003) explored similar issues, particularly with reference to diverse cultural identities.</w:t>
      </w:r>
      <w:r w:rsidR="00CA0AEB">
        <w:rPr>
          <w:rFonts w:ascii="Calibri" w:hAnsi="Calibri" w:cs="Calibri"/>
          <w:szCs w:val="22"/>
        </w:rPr>
        <w:t xml:space="preserve"> </w:t>
      </w:r>
      <w:r w:rsidR="00A210C8">
        <w:rPr>
          <w:rFonts w:ascii="Calibri" w:hAnsi="Calibri" w:cs="Calibri"/>
          <w:szCs w:val="22"/>
        </w:rPr>
        <w:t xml:space="preserve">Melanie </w:t>
      </w:r>
      <w:r w:rsidRPr="008814D3">
        <w:rPr>
          <w:rFonts w:ascii="Calibri" w:hAnsi="Calibri" w:cs="Calibri"/>
          <w:szCs w:val="22"/>
        </w:rPr>
        <w:t xml:space="preserve">Walker and </w:t>
      </w:r>
      <w:r w:rsidR="00A210C8">
        <w:rPr>
          <w:rFonts w:ascii="Calibri" w:hAnsi="Calibri" w:cs="Calibri"/>
          <w:szCs w:val="22"/>
        </w:rPr>
        <w:t xml:space="preserve">Elaine </w:t>
      </w:r>
      <w:proofErr w:type="spellStart"/>
      <w:r w:rsidRPr="008814D3">
        <w:rPr>
          <w:rFonts w:ascii="Calibri" w:hAnsi="Calibri" w:cs="Calibri"/>
          <w:szCs w:val="22"/>
        </w:rPr>
        <w:t>Unterhalter</w:t>
      </w:r>
      <w:proofErr w:type="spellEnd"/>
      <w:r w:rsidRPr="008814D3">
        <w:rPr>
          <w:rFonts w:ascii="Calibri" w:hAnsi="Calibri" w:cs="Calibri"/>
          <w:szCs w:val="22"/>
        </w:rPr>
        <w:t xml:space="preserve"> (2007) took a rather different approach,</w:t>
      </w:r>
      <w:r w:rsidR="00CA0AEB">
        <w:rPr>
          <w:rFonts w:ascii="Calibri" w:hAnsi="Calibri" w:cs="Calibri"/>
          <w:szCs w:val="22"/>
        </w:rPr>
        <w:t xml:space="preserve"> </w:t>
      </w:r>
      <w:r w:rsidRPr="008814D3">
        <w:rPr>
          <w:rFonts w:ascii="Calibri" w:hAnsi="Calibri" w:cs="Calibri"/>
          <w:szCs w:val="22"/>
        </w:rPr>
        <w:t>taking Amartya Sen’s ‘capability approach’ to social justice, in which</w:t>
      </w:r>
      <w:r w:rsidR="00CA0AEB">
        <w:rPr>
          <w:rFonts w:ascii="Calibri" w:hAnsi="Calibri" w:cs="Calibri"/>
          <w:szCs w:val="22"/>
        </w:rPr>
        <w:t xml:space="preserve"> </w:t>
      </w:r>
      <w:r w:rsidRPr="008814D3">
        <w:rPr>
          <w:rFonts w:ascii="Calibri" w:hAnsi="Calibri" w:cs="Calibri"/>
          <w:szCs w:val="22"/>
        </w:rPr>
        <w:t>fairness and justice are determined less by the overall impact on society as a whole</w:t>
      </w:r>
      <w:r w:rsidR="00CA0AEB">
        <w:rPr>
          <w:rFonts w:ascii="Calibri" w:hAnsi="Calibri" w:cs="Calibri"/>
          <w:szCs w:val="22"/>
        </w:rPr>
        <w:t xml:space="preserve"> </w:t>
      </w:r>
      <w:r w:rsidRPr="008814D3">
        <w:rPr>
          <w:rFonts w:ascii="Calibri" w:hAnsi="Calibri" w:cs="Calibri"/>
          <w:szCs w:val="22"/>
        </w:rPr>
        <w:t>than the freedom of each person to make decisions they value and remove obstacles to those freedoms – the expansion of their capabilities (‘the ability to do valuable acts or reach valuable states of being; representing the alternative combinations of things a person is able to do or be’</w:t>
      </w:r>
      <w:r w:rsidR="00A126B8">
        <w:rPr>
          <w:rFonts w:ascii="Calibri" w:hAnsi="Calibri" w:cs="Calibri"/>
          <w:szCs w:val="22"/>
        </w:rPr>
        <w:t xml:space="preserve">: </w:t>
      </w:r>
      <w:r w:rsidR="00617ED5" w:rsidRPr="008814D3">
        <w:rPr>
          <w:rFonts w:ascii="Calibri" w:hAnsi="Calibri" w:cs="Calibri"/>
          <w:szCs w:val="22"/>
        </w:rPr>
        <w:t>Sen</w:t>
      </w:r>
      <w:r w:rsidRPr="008814D3">
        <w:rPr>
          <w:rFonts w:ascii="Calibri" w:hAnsi="Calibri" w:cs="Calibri"/>
          <w:szCs w:val="22"/>
        </w:rPr>
        <w:t>, 1993, p.</w:t>
      </w:r>
      <w:r w:rsidR="00B169D3" w:rsidRPr="008814D3">
        <w:rPr>
          <w:rFonts w:ascii="Calibri" w:hAnsi="Calibri" w:cs="Calibri"/>
          <w:szCs w:val="22"/>
        </w:rPr>
        <w:t xml:space="preserve"> </w:t>
      </w:r>
      <w:r w:rsidRPr="008814D3">
        <w:rPr>
          <w:rFonts w:ascii="Calibri" w:hAnsi="Calibri" w:cs="Calibri"/>
          <w:szCs w:val="22"/>
        </w:rPr>
        <w:t>30).</w:t>
      </w:r>
      <w:r w:rsidR="00CA0AEB">
        <w:rPr>
          <w:rFonts w:ascii="Calibri" w:hAnsi="Calibri" w:cs="Calibri"/>
          <w:szCs w:val="22"/>
        </w:rPr>
        <w:t xml:space="preserve"> </w:t>
      </w:r>
      <w:r w:rsidRPr="008814D3">
        <w:rPr>
          <w:rFonts w:ascii="Calibri" w:hAnsi="Calibri" w:cs="Calibri"/>
          <w:szCs w:val="22"/>
        </w:rPr>
        <w:t xml:space="preserve">There have also been special issues of journals devoted to the topic, notably the </w:t>
      </w:r>
      <w:r w:rsidRPr="008814D3">
        <w:rPr>
          <w:rFonts w:ascii="Calibri" w:hAnsi="Calibri" w:cs="Calibri"/>
          <w:i/>
          <w:iCs/>
          <w:szCs w:val="22"/>
        </w:rPr>
        <w:t>Journal of Education Policy</w:t>
      </w:r>
      <w:r w:rsidRPr="008814D3">
        <w:rPr>
          <w:rFonts w:ascii="Calibri" w:hAnsi="Calibri" w:cs="Calibri"/>
          <w:szCs w:val="22"/>
        </w:rPr>
        <w:t xml:space="preserve"> in 1998 (Gewi</w:t>
      </w:r>
      <w:r w:rsidR="00A210C8">
        <w:rPr>
          <w:rFonts w:ascii="Calibri" w:hAnsi="Calibri" w:cs="Calibri"/>
          <w:szCs w:val="22"/>
        </w:rPr>
        <w:t>r</w:t>
      </w:r>
      <w:r w:rsidRPr="008814D3">
        <w:rPr>
          <w:rFonts w:ascii="Calibri" w:hAnsi="Calibri" w:cs="Calibri"/>
          <w:szCs w:val="22"/>
        </w:rPr>
        <w:t>tz, 1998) and in 2012 (Francis and Mills, 2012).</w:t>
      </w:r>
    </w:p>
    <w:p w14:paraId="68BFBB44" w14:textId="77777777" w:rsidR="005F3433" w:rsidRPr="008814D3" w:rsidRDefault="005F3433" w:rsidP="00E8255E">
      <w:pPr>
        <w:shd w:val="clear" w:color="auto" w:fill="FFFFFF"/>
        <w:rPr>
          <w:rFonts w:ascii="Calibri" w:hAnsi="Calibri" w:cs="Calibri"/>
          <w:szCs w:val="22"/>
        </w:rPr>
      </w:pPr>
    </w:p>
    <w:p w14:paraId="1E800203" w14:textId="40A67739"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 xml:space="preserve">Not all educational researchers feel this imperative: </w:t>
      </w:r>
      <w:r w:rsidR="006A7C6B">
        <w:rPr>
          <w:rFonts w:ascii="Calibri" w:hAnsi="Calibri" w:cs="Calibri"/>
          <w:szCs w:val="22"/>
        </w:rPr>
        <w:t xml:space="preserve">Becky </w:t>
      </w:r>
      <w:r w:rsidRPr="008814D3">
        <w:rPr>
          <w:rFonts w:ascii="Calibri" w:hAnsi="Calibri" w:cs="Calibri"/>
          <w:szCs w:val="22"/>
        </w:rPr>
        <w:t xml:space="preserve">Francis (2011) has criticised educational research as </w:t>
      </w:r>
      <w:r w:rsidR="0023518B" w:rsidRPr="008814D3">
        <w:rPr>
          <w:rFonts w:ascii="Calibri" w:hAnsi="Calibri" w:cs="Calibri"/>
          <w:szCs w:val="22"/>
        </w:rPr>
        <w:t>‘</w:t>
      </w:r>
      <w:r w:rsidRPr="008814D3">
        <w:rPr>
          <w:rFonts w:ascii="Calibri" w:hAnsi="Calibri" w:cs="Calibri"/>
          <w:szCs w:val="22"/>
        </w:rPr>
        <w:t>far too removed from policy and practice</w:t>
      </w:r>
      <w:r w:rsidR="0023518B" w:rsidRPr="008814D3">
        <w:rPr>
          <w:rFonts w:ascii="Calibri" w:hAnsi="Calibri" w:cs="Calibri"/>
          <w:szCs w:val="22"/>
        </w:rPr>
        <w:t>’</w:t>
      </w:r>
      <w:r w:rsidRPr="008814D3">
        <w:rPr>
          <w:rFonts w:ascii="Calibri" w:hAnsi="Calibri" w:cs="Calibri"/>
          <w:szCs w:val="22"/>
        </w:rPr>
        <w:t xml:space="preserve"> (p.</w:t>
      </w:r>
      <w:r w:rsidR="0023518B" w:rsidRPr="008814D3">
        <w:rPr>
          <w:rFonts w:ascii="Calibri" w:hAnsi="Calibri" w:cs="Calibri"/>
          <w:szCs w:val="22"/>
        </w:rPr>
        <w:t xml:space="preserve"> </w:t>
      </w:r>
      <w:r w:rsidRPr="008814D3">
        <w:rPr>
          <w:rFonts w:ascii="Calibri" w:hAnsi="Calibri" w:cs="Calibri"/>
          <w:szCs w:val="22"/>
        </w:rPr>
        <w:t xml:space="preserve">4) in England and the UK, and that </w:t>
      </w:r>
      <w:r w:rsidR="0023518B" w:rsidRPr="008814D3">
        <w:rPr>
          <w:rFonts w:ascii="Calibri" w:hAnsi="Calibri" w:cs="Calibri"/>
          <w:szCs w:val="22"/>
        </w:rPr>
        <w:t>‘</w:t>
      </w:r>
      <w:r w:rsidRPr="008814D3">
        <w:rPr>
          <w:rFonts w:ascii="Calibri" w:hAnsi="Calibri" w:cs="Calibri"/>
          <w:szCs w:val="22"/>
        </w:rPr>
        <w:t>as educationalists, we should be concerned to increase our research ‘impact’… beyond the narrow drivers of research assessment measurements</w:t>
      </w:r>
      <w:r w:rsidR="0023518B" w:rsidRPr="008814D3">
        <w:rPr>
          <w:rFonts w:ascii="Calibri" w:hAnsi="Calibri" w:cs="Calibri"/>
          <w:szCs w:val="22"/>
        </w:rPr>
        <w:t>’</w:t>
      </w:r>
      <w:r w:rsidRPr="008814D3">
        <w:rPr>
          <w:rFonts w:ascii="Calibri" w:hAnsi="Calibri" w:cs="Calibri"/>
          <w:szCs w:val="22"/>
        </w:rPr>
        <w:t xml:space="preserve"> (pp.</w:t>
      </w:r>
      <w:r w:rsidR="0023518B" w:rsidRPr="008814D3">
        <w:rPr>
          <w:rFonts w:ascii="Calibri" w:hAnsi="Calibri" w:cs="Calibri"/>
          <w:szCs w:val="22"/>
        </w:rPr>
        <w:t xml:space="preserve"> </w:t>
      </w:r>
      <w:r w:rsidRPr="008814D3">
        <w:rPr>
          <w:rFonts w:ascii="Calibri" w:hAnsi="Calibri" w:cs="Calibri"/>
          <w:szCs w:val="22"/>
        </w:rPr>
        <w:t>4</w:t>
      </w:r>
      <w:r w:rsidR="007A7C27" w:rsidRPr="008814D3">
        <w:rPr>
          <w:rFonts w:ascii="Calibri" w:hAnsi="Calibri" w:cs="Calibri"/>
          <w:szCs w:val="22"/>
        </w:rPr>
        <w:t>–</w:t>
      </w:r>
      <w:r w:rsidRPr="008814D3">
        <w:rPr>
          <w:rFonts w:ascii="Calibri" w:hAnsi="Calibri" w:cs="Calibri"/>
          <w:szCs w:val="22"/>
        </w:rPr>
        <w:t>5).</w:t>
      </w:r>
      <w:r w:rsidR="00CA0AEB">
        <w:rPr>
          <w:rFonts w:ascii="Calibri" w:hAnsi="Calibri" w:cs="Calibri"/>
          <w:szCs w:val="22"/>
        </w:rPr>
        <w:t xml:space="preserve"> </w:t>
      </w:r>
      <w:r w:rsidRPr="008814D3">
        <w:rPr>
          <w:rFonts w:ascii="Calibri" w:hAnsi="Calibri" w:cs="Calibri"/>
          <w:szCs w:val="22"/>
        </w:rPr>
        <w:t xml:space="preserve">But she also notes firstly the dissonance between researchers and policy makers embedded in neoliberal ideologies who drive </w:t>
      </w:r>
      <w:r w:rsidR="0023518B" w:rsidRPr="008814D3">
        <w:rPr>
          <w:rFonts w:ascii="Calibri" w:hAnsi="Calibri" w:cs="Calibri"/>
          <w:szCs w:val="22"/>
        </w:rPr>
        <w:t>‘i</w:t>
      </w:r>
      <w:r w:rsidRPr="008814D3">
        <w:rPr>
          <w:rFonts w:ascii="Calibri" w:hAnsi="Calibri" w:cs="Calibri"/>
          <w:szCs w:val="22"/>
        </w:rPr>
        <w:t xml:space="preserve">nstrumental understandings of the purpose of education as exclusively economic, and of education credentials as exclusive indicators of </w:t>
      </w:r>
      <w:r w:rsidR="0023518B" w:rsidRPr="008814D3">
        <w:rPr>
          <w:rFonts w:ascii="Calibri" w:hAnsi="Calibri" w:cs="Calibri"/>
          <w:szCs w:val="22"/>
        </w:rPr>
        <w:t>“</w:t>
      </w:r>
      <w:r w:rsidRPr="008814D3">
        <w:rPr>
          <w:rFonts w:ascii="Calibri" w:hAnsi="Calibri" w:cs="Calibri"/>
          <w:szCs w:val="22"/>
        </w:rPr>
        <w:t>quality</w:t>
      </w:r>
      <w:r w:rsidR="0023518B" w:rsidRPr="008814D3">
        <w:rPr>
          <w:rFonts w:ascii="Calibri" w:hAnsi="Calibri" w:cs="Calibri"/>
          <w:szCs w:val="22"/>
        </w:rPr>
        <w:t>”’</w:t>
      </w:r>
      <w:r w:rsidRPr="008814D3">
        <w:rPr>
          <w:rFonts w:ascii="Calibri" w:hAnsi="Calibri" w:cs="Calibri"/>
          <w:szCs w:val="22"/>
        </w:rPr>
        <w:t xml:space="preserve"> (p.</w:t>
      </w:r>
      <w:r w:rsidR="0023518B" w:rsidRPr="008814D3">
        <w:rPr>
          <w:rFonts w:ascii="Calibri" w:hAnsi="Calibri" w:cs="Calibri"/>
          <w:szCs w:val="22"/>
        </w:rPr>
        <w:t xml:space="preserve"> </w:t>
      </w:r>
      <w:r w:rsidRPr="008814D3">
        <w:rPr>
          <w:rFonts w:ascii="Calibri" w:hAnsi="Calibri" w:cs="Calibri"/>
          <w:szCs w:val="22"/>
        </w:rPr>
        <w:t>7)</w:t>
      </w:r>
      <w:r w:rsidR="0023518B" w:rsidRPr="008814D3">
        <w:rPr>
          <w:rFonts w:ascii="Calibri" w:hAnsi="Calibri" w:cs="Calibri"/>
          <w:szCs w:val="22"/>
        </w:rPr>
        <w:t>,</w:t>
      </w:r>
      <w:r w:rsidRPr="008814D3">
        <w:rPr>
          <w:rFonts w:ascii="Calibri" w:hAnsi="Calibri" w:cs="Calibri"/>
          <w:szCs w:val="22"/>
        </w:rPr>
        <w:t xml:space="preserve"> and secondly the dominant ideology of many educational researchers apparently leading to a focus on deconstructing contemporary policies and their suppositions rather than proposing constructive alternatives. Francis attributes this lack of direct engagement with policy to four factors: (a) the relativism that encourages deconstruction rather than construction, discounting claims to ‘truth’; (b) the research evaluation in UK Higher Education (and increasingly in other countries), which prioritises publication in relatively esoteric journals rather than communication with practitioners and policy audiences; (c) the expectation that policymakers will disregard research findings; and (d) a tendency to criticise, rather than to become associated with existing policies and practices.</w:t>
      </w:r>
      <w:r w:rsidR="00CA0AEB">
        <w:rPr>
          <w:rFonts w:ascii="Calibri" w:hAnsi="Calibri" w:cs="Calibri"/>
          <w:szCs w:val="22"/>
        </w:rPr>
        <w:t xml:space="preserve"> </w:t>
      </w:r>
      <w:r w:rsidRPr="008814D3">
        <w:rPr>
          <w:rFonts w:ascii="Calibri" w:hAnsi="Calibri" w:cs="Calibri"/>
          <w:szCs w:val="22"/>
        </w:rPr>
        <w:t xml:space="preserve">Elsewhere, Francis and </w:t>
      </w:r>
      <w:r w:rsidR="00A210C8">
        <w:rPr>
          <w:rFonts w:ascii="Calibri" w:hAnsi="Calibri" w:cs="Calibri"/>
          <w:szCs w:val="22"/>
        </w:rPr>
        <w:t xml:space="preserve">Martin </w:t>
      </w:r>
      <w:r w:rsidRPr="008814D3">
        <w:rPr>
          <w:rFonts w:ascii="Calibri" w:hAnsi="Calibri" w:cs="Calibri"/>
          <w:szCs w:val="22"/>
        </w:rPr>
        <w:t>Mills challenge education researchers as possibly being ‘in danger of becoming knowing observers of psychological phenomena, comparing clever notes within our own exclusive circle, while practice and policies that exacerbate inequalities continue oblivious and unabated’ (201</w:t>
      </w:r>
      <w:r w:rsidR="00CE7067" w:rsidRPr="008814D3">
        <w:rPr>
          <w:rFonts w:ascii="Calibri" w:hAnsi="Calibri" w:cs="Calibri"/>
          <w:szCs w:val="22"/>
        </w:rPr>
        <w:t>2</w:t>
      </w:r>
      <w:r w:rsidRPr="008814D3">
        <w:rPr>
          <w:rFonts w:ascii="Calibri" w:hAnsi="Calibri" w:cs="Calibri"/>
          <w:szCs w:val="22"/>
        </w:rPr>
        <w:t>, p.</w:t>
      </w:r>
      <w:r w:rsidR="003A2E8A" w:rsidRPr="008814D3">
        <w:rPr>
          <w:rFonts w:ascii="Calibri" w:hAnsi="Calibri" w:cs="Calibri"/>
          <w:szCs w:val="22"/>
        </w:rPr>
        <w:t xml:space="preserve"> </w:t>
      </w:r>
      <w:r w:rsidRPr="008814D3">
        <w:rPr>
          <w:rFonts w:ascii="Calibri" w:hAnsi="Calibri" w:cs="Calibri"/>
          <w:szCs w:val="22"/>
        </w:rPr>
        <w:t>578).</w:t>
      </w:r>
    </w:p>
    <w:p w14:paraId="2FD9EC8E" w14:textId="77777777" w:rsidR="005F3433" w:rsidRPr="008814D3" w:rsidRDefault="005F3433" w:rsidP="00E8255E">
      <w:pPr>
        <w:shd w:val="clear" w:color="auto" w:fill="FFFFFF"/>
        <w:rPr>
          <w:rFonts w:ascii="Calibri" w:hAnsi="Calibri" w:cs="Calibri"/>
          <w:szCs w:val="22"/>
        </w:rPr>
      </w:pPr>
    </w:p>
    <w:p w14:paraId="5654D7A8" w14:textId="0C376C89" w:rsidR="005F3433" w:rsidRPr="008814D3" w:rsidRDefault="005F3433" w:rsidP="00E8255E">
      <w:pPr>
        <w:shd w:val="clear" w:color="auto" w:fill="FFFFFF"/>
        <w:rPr>
          <w:rFonts w:ascii="Calibri" w:hAnsi="Calibri" w:cs="Calibri"/>
          <w:szCs w:val="22"/>
        </w:rPr>
      </w:pPr>
      <w:r w:rsidRPr="008814D3">
        <w:rPr>
          <w:rFonts w:ascii="Calibri" w:hAnsi="Calibri" w:cs="Calibri"/>
          <w:szCs w:val="22"/>
        </w:rPr>
        <w:lastRenderedPageBreak/>
        <w:t>Structural inequalities, both in educational provision and in educational outcomes, are an important part of the problem that needs to be addressed in educational research.</w:t>
      </w:r>
      <w:r w:rsidR="00CA0AEB">
        <w:rPr>
          <w:rFonts w:ascii="Calibri" w:hAnsi="Calibri" w:cs="Calibri"/>
          <w:szCs w:val="22"/>
        </w:rPr>
        <w:t xml:space="preserve"> </w:t>
      </w:r>
      <w:r w:rsidRPr="008814D3">
        <w:rPr>
          <w:rFonts w:ascii="Calibri" w:hAnsi="Calibri" w:cs="Calibri"/>
          <w:szCs w:val="22"/>
        </w:rPr>
        <w:t>Reay, however, makes the point that schools and education (and research) cannot compensate for social and economic injustices</w:t>
      </w:r>
      <w:r w:rsidR="003C5AB4">
        <w:rPr>
          <w:rFonts w:ascii="Calibri" w:hAnsi="Calibri" w:cs="Calibri"/>
          <w:szCs w:val="22"/>
        </w:rPr>
        <w:t>:</w:t>
      </w:r>
      <w:r w:rsidR="008F6B15">
        <w:rPr>
          <w:rFonts w:ascii="Calibri" w:hAnsi="Calibri" w:cs="Calibri"/>
          <w:szCs w:val="22"/>
        </w:rPr>
        <w:t xml:space="preserve"> </w:t>
      </w:r>
      <w:r w:rsidR="003A2E8A" w:rsidRPr="008814D3">
        <w:rPr>
          <w:rFonts w:ascii="Calibri" w:hAnsi="Calibri" w:cs="Calibri"/>
          <w:szCs w:val="22"/>
        </w:rPr>
        <w:t>‘</w:t>
      </w:r>
      <w:r w:rsidR="003C5AB4">
        <w:rPr>
          <w:rFonts w:ascii="Calibri" w:hAnsi="Calibri" w:cs="Calibri"/>
          <w:szCs w:val="22"/>
        </w:rPr>
        <w:t>s</w:t>
      </w:r>
      <w:r w:rsidRPr="008814D3">
        <w:rPr>
          <w:rFonts w:ascii="Calibri" w:hAnsi="Calibri" w:cs="Calibri"/>
          <w:szCs w:val="22"/>
        </w:rPr>
        <w:t>ocial class [must be] recognised as a fundamental division in British education that requires urgent, far-reaching attention</w:t>
      </w:r>
      <w:r w:rsidR="003A2E8A" w:rsidRPr="008814D3">
        <w:rPr>
          <w:rFonts w:ascii="Calibri" w:hAnsi="Calibri" w:cs="Calibri"/>
          <w:szCs w:val="22"/>
        </w:rPr>
        <w:t>’</w:t>
      </w:r>
      <w:r w:rsidRPr="008814D3">
        <w:rPr>
          <w:rFonts w:ascii="Calibri" w:hAnsi="Calibri" w:cs="Calibri"/>
          <w:szCs w:val="22"/>
        </w:rPr>
        <w:t xml:space="preserve"> (Reay, 2012, p.</w:t>
      </w:r>
      <w:r w:rsidR="008137CD" w:rsidRPr="008814D3">
        <w:rPr>
          <w:rFonts w:ascii="Calibri" w:hAnsi="Calibri" w:cs="Calibri"/>
          <w:szCs w:val="22"/>
        </w:rPr>
        <w:t xml:space="preserve"> </w:t>
      </w:r>
      <w:r w:rsidRPr="008814D3">
        <w:rPr>
          <w:rFonts w:ascii="Calibri" w:hAnsi="Calibri" w:cs="Calibri"/>
          <w:szCs w:val="22"/>
        </w:rPr>
        <w:t xml:space="preserve">588), and she argues not just for broadening the idea of educational success beyond the academic, but that our focus should not </w:t>
      </w:r>
      <w:r w:rsidR="007A7C27">
        <w:rPr>
          <w:rFonts w:ascii="Calibri" w:hAnsi="Calibri" w:cs="Calibri"/>
          <w:szCs w:val="22"/>
        </w:rPr>
        <w:t xml:space="preserve">be </w:t>
      </w:r>
      <w:r w:rsidRPr="008814D3">
        <w:rPr>
          <w:rFonts w:ascii="Calibri" w:hAnsi="Calibri" w:cs="Calibri"/>
          <w:szCs w:val="22"/>
        </w:rPr>
        <w:t xml:space="preserve">on </w:t>
      </w:r>
      <w:r w:rsidR="003A2E8A" w:rsidRPr="008814D3">
        <w:rPr>
          <w:rFonts w:ascii="Calibri" w:hAnsi="Calibri" w:cs="Calibri"/>
          <w:szCs w:val="22"/>
        </w:rPr>
        <w:t>‘</w:t>
      </w:r>
      <w:r w:rsidRPr="008814D3">
        <w:rPr>
          <w:rFonts w:ascii="Calibri" w:hAnsi="Calibri" w:cs="Calibri"/>
          <w:szCs w:val="22"/>
        </w:rPr>
        <w:t>perceived differences of ability and aptitude but rather [on] children’s very unequal and unfair educational starting points</w:t>
      </w:r>
      <w:r w:rsidR="003A2E8A" w:rsidRPr="008814D3">
        <w:rPr>
          <w:rFonts w:ascii="Calibri" w:hAnsi="Calibri" w:cs="Calibri"/>
          <w:szCs w:val="22"/>
        </w:rPr>
        <w:t>’</w:t>
      </w:r>
      <w:r w:rsidRPr="008814D3">
        <w:rPr>
          <w:rFonts w:ascii="Calibri" w:hAnsi="Calibri" w:cs="Calibri"/>
          <w:szCs w:val="22"/>
        </w:rPr>
        <w:t xml:space="preserve"> (Reay, 2011, p.</w:t>
      </w:r>
      <w:r w:rsidR="003A2E8A" w:rsidRPr="008814D3">
        <w:rPr>
          <w:rFonts w:ascii="Calibri" w:hAnsi="Calibri" w:cs="Calibri"/>
          <w:szCs w:val="22"/>
        </w:rPr>
        <w:t xml:space="preserve"> </w:t>
      </w:r>
      <w:r w:rsidRPr="008814D3">
        <w:rPr>
          <w:rFonts w:ascii="Calibri" w:hAnsi="Calibri" w:cs="Calibri"/>
          <w:szCs w:val="22"/>
        </w:rPr>
        <w:t xml:space="preserve">2). She draws on Richard Tawney’s seminal work, </w:t>
      </w:r>
      <w:r w:rsidRPr="008814D3">
        <w:rPr>
          <w:rFonts w:ascii="Calibri" w:hAnsi="Calibri" w:cs="Calibri"/>
          <w:i/>
          <w:szCs w:val="22"/>
        </w:rPr>
        <w:t>Equality</w:t>
      </w:r>
      <w:r w:rsidRPr="008814D3">
        <w:rPr>
          <w:rFonts w:ascii="Calibri" w:hAnsi="Calibri" w:cs="Calibri"/>
          <w:szCs w:val="22"/>
        </w:rPr>
        <w:t xml:space="preserve">, in which he describes the </w:t>
      </w:r>
      <w:r w:rsidR="003A2E8A" w:rsidRPr="008814D3">
        <w:rPr>
          <w:rFonts w:ascii="Calibri" w:hAnsi="Calibri" w:cs="Calibri"/>
          <w:szCs w:val="22"/>
        </w:rPr>
        <w:t>‘</w:t>
      </w:r>
      <w:r w:rsidRPr="008814D3">
        <w:rPr>
          <w:rFonts w:ascii="Calibri" w:hAnsi="Calibri" w:cs="Calibri"/>
          <w:szCs w:val="22"/>
        </w:rPr>
        <w:t>barbarous associations of differences of educational opportunity with distinctions of wealth and social position</w:t>
      </w:r>
      <w:r w:rsidR="003A2E8A" w:rsidRPr="008814D3">
        <w:rPr>
          <w:rFonts w:ascii="Calibri" w:hAnsi="Calibri" w:cs="Calibri"/>
          <w:szCs w:val="22"/>
        </w:rPr>
        <w:t>’</w:t>
      </w:r>
      <w:r w:rsidRPr="008814D3">
        <w:rPr>
          <w:rFonts w:ascii="Calibri" w:hAnsi="Calibri" w:cs="Calibri"/>
          <w:szCs w:val="22"/>
        </w:rPr>
        <w:t xml:space="preserve"> (Tawney, 1931, p.</w:t>
      </w:r>
      <w:r w:rsidR="003A2E8A" w:rsidRPr="008814D3">
        <w:rPr>
          <w:rFonts w:ascii="Calibri" w:hAnsi="Calibri" w:cs="Calibri"/>
          <w:szCs w:val="22"/>
        </w:rPr>
        <w:t xml:space="preserve"> </w:t>
      </w:r>
      <w:r w:rsidRPr="008814D3">
        <w:rPr>
          <w:rFonts w:ascii="Calibri" w:hAnsi="Calibri" w:cs="Calibri"/>
          <w:szCs w:val="22"/>
        </w:rPr>
        <w:t>210)</w:t>
      </w:r>
      <w:r w:rsidR="003A2E8A" w:rsidRPr="008814D3">
        <w:rPr>
          <w:rFonts w:ascii="Calibri" w:hAnsi="Calibri" w:cs="Calibri"/>
          <w:szCs w:val="22"/>
        </w:rPr>
        <w:t>,</w:t>
      </w:r>
      <w:r w:rsidRPr="008814D3">
        <w:rPr>
          <w:rFonts w:ascii="Calibri" w:hAnsi="Calibri" w:cs="Calibri"/>
          <w:szCs w:val="22"/>
        </w:rPr>
        <w:t xml:space="preserve"> that create perceptions of social inferiority to become </w:t>
      </w:r>
      <w:r w:rsidR="003A2E8A" w:rsidRPr="008814D3">
        <w:rPr>
          <w:rFonts w:ascii="Calibri" w:hAnsi="Calibri" w:cs="Calibri"/>
          <w:szCs w:val="22"/>
        </w:rPr>
        <w:t>‘</w:t>
      </w:r>
      <w:r w:rsidRPr="008814D3">
        <w:rPr>
          <w:rFonts w:ascii="Calibri" w:hAnsi="Calibri" w:cs="Calibri"/>
          <w:szCs w:val="22"/>
        </w:rPr>
        <w:t>the cannon-fodder of industry</w:t>
      </w:r>
      <w:r w:rsidR="003A2E8A" w:rsidRPr="008814D3">
        <w:rPr>
          <w:rFonts w:ascii="Calibri" w:hAnsi="Calibri" w:cs="Calibri"/>
          <w:szCs w:val="22"/>
        </w:rPr>
        <w:t>’</w:t>
      </w:r>
      <w:r w:rsidRPr="008814D3">
        <w:rPr>
          <w:rFonts w:ascii="Calibri" w:hAnsi="Calibri" w:cs="Calibri"/>
          <w:szCs w:val="22"/>
        </w:rPr>
        <w:t xml:space="preserve"> (p.</w:t>
      </w:r>
      <w:r w:rsidR="003A2E8A" w:rsidRPr="008814D3">
        <w:rPr>
          <w:rFonts w:ascii="Calibri" w:hAnsi="Calibri" w:cs="Calibri"/>
          <w:szCs w:val="22"/>
        </w:rPr>
        <w:t xml:space="preserve"> </w:t>
      </w:r>
      <w:r w:rsidRPr="008814D3">
        <w:rPr>
          <w:rFonts w:ascii="Calibri" w:hAnsi="Calibri" w:cs="Calibri"/>
          <w:szCs w:val="22"/>
        </w:rPr>
        <w:t xml:space="preserve">203) that cannot be rectified until </w:t>
      </w:r>
      <w:r w:rsidR="003A2E8A" w:rsidRPr="008814D3">
        <w:rPr>
          <w:rFonts w:ascii="Calibri" w:hAnsi="Calibri" w:cs="Calibri"/>
          <w:szCs w:val="22"/>
        </w:rPr>
        <w:t>‘</w:t>
      </w:r>
      <w:r w:rsidRPr="008814D3">
        <w:rPr>
          <w:rFonts w:ascii="Calibri" w:hAnsi="Calibri" w:cs="Calibri"/>
          <w:szCs w:val="22"/>
        </w:rPr>
        <w:t>children of all classes of the community attend the same schools</w:t>
      </w:r>
      <w:r w:rsidR="003A2E8A" w:rsidRPr="008814D3">
        <w:rPr>
          <w:rFonts w:ascii="Calibri" w:hAnsi="Calibri" w:cs="Calibri"/>
          <w:szCs w:val="22"/>
        </w:rPr>
        <w:t>’</w:t>
      </w:r>
      <w:r w:rsidRPr="008814D3">
        <w:rPr>
          <w:rFonts w:ascii="Calibri" w:hAnsi="Calibri" w:cs="Calibri"/>
          <w:szCs w:val="22"/>
        </w:rPr>
        <w:t xml:space="preserve"> (p.</w:t>
      </w:r>
      <w:r w:rsidR="003A2E8A" w:rsidRPr="008814D3">
        <w:rPr>
          <w:rFonts w:ascii="Calibri" w:hAnsi="Calibri" w:cs="Calibri"/>
          <w:szCs w:val="22"/>
        </w:rPr>
        <w:t xml:space="preserve"> </w:t>
      </w:r>
      <w:r w:rsidRPr="008814D3">
        <w:rPr>
          <w:rFonts w:ascii="Calibri" w:hAnsi="Calibri" w:cs="Calibri"/>
          <w:szCs w:val="22"/>
        </w:rPr>
        <w:t>204).</w:t>
      </w:r>
      <w:r w:rsidR="00CA0AEB">
        <w:rPr>
          <w:rFonts w:ascii="Calibri" w:hAnsi="Calibri" w:cs="Calibri"/>
          <w:szCs w:val="22"/>
        </w:rPr>
        <w:t xml:space="preserve"> </w:t>
      </w:r>
      <w:r w:rsidRPr="008814D3">
        <w:rPr>
          <w:rFonts w:ascii="Calibri" w:hAnsi="Calibri" w:cs="Calibri"/>
          <w:szCs w:val="22"/>
        </w:rPr>
        <w:t xml:space="preserve">The inequality between private and public education continues to persist nearly 90 years after Tawney wrote: private schools, with about 7 per cent of the UK’s pupils, consume 21.3 per cent of total educational spending, </w:t>
      </w:r>
      <w:r w:rsidR="003C5AB4">
        <w:rPr>
          <w:rFonts w:ascii="Calibri" w:hAnsi="Calibri" w:cs="Calibri"/>
          <w:szCs w:val="22"/>
        </w:rPr>
        <w:t xml:space="preserve">and spending </w:t>
      </w:r>
      <w:r w:rsidR="004E5A4F">
        <w:rPr>
          <w:rFonts w:ascii="Calibri" w:hAnsi="Calibri" w:cs="Calibri"/>
          <w:szCs w:val="22"/>
        </w:rPr>
        <w:t xml:space="preserve">per private school pupil is 3.6 </w:t>
      </w:r>
      <w:r w:rsidR="00C16073">
        <w:rPr>
          <w:rFonts w:ascii="Calibri" w:hAnsi="Calibri" w:cs="Calibri"/>
          <w:szCs w:val="22"/>
        </w:rPr>
        <w:t xml:space="preserve">times </w:t>
      </w:r>
      <w:r w:rsidR="000C7EAC">
        <w:rPr>
          <w:rFonts w:ascii="Calibri" w:hAnsi="Calibri" w:cs="Calibri"/>
          <w:szCs w:val="22"/>
        </w:rPr>
        <w:t>g</w:t>
      </w:r>
      <w:r w:rsidR="00C16073">
        <w:rPr>
          <w:rFonts w:ascii="Calibri" w:hAnsi="Calibri" w:cs="Calibri"/>
          <w:szCs w:val="22"/>
        </w:rPr>
        <w:t>reater tha</w:t>
      </w:r>
      <w:r w:rsidR="00D576C4">
        <w:rPr>
          <w:rFonts w:ascii="Calibri" w:hAnsi="Calibri" w:cs="Calibri"/>
          <w:szCs w:val="22"/>
        </w:rPr>
        <w:t>n</w:t>
      </w:r>
      <w:r w:rsidR="00C16073">
        <w:rPr>
          <w:rFonts w:ascii="Calibri" w:hAnsi="Calibri" w:cs="Calibri"/>
          <w:szCs w:val="22"/>
        </w:rPr>
        <w:t xml:space="preserve"> the amount spent on a </w:t>
      </w:r>
      <w:r w:rsidRPr="008814D3">
        <w:rPr>
          <w:rFonts w:ascii="Calibri" w:hAnsi="Calibri" w:cs="Calibri"/>
          <w:szCs w:val="22"/>
        </w:rPr>
        <w:t>state school</w:t>
      </w:r>
      <w:r w:rsidR="00C16073">
        <w:rPr>
          <w:rFonts w:ascii="Calibri" w:hAnsi="Calibri" w:cs="Calibri"/>
          <w:szCs w:val="22"/>
        </w:rPr>
        <w:t xml:space="preserve"> pu</w:t>
      </w:r>
      <w:r w:rsidR="003C1584">
        <w:rPr>
          <w:rFonts w:ascii="Calibri" w:hAnsi="Calibri" w:cs="Calibri"/>
          <w:szCs w:val="22"/>
        </w:rPr>
        <w:t>pil</w:t>
      </w:r>
      <w:r w:rsidRPr="008814D3">
        <w:rPr>
          <w:rFonts w:ascii="Calibri" w:hAnsi="Calibri" w:cs="Calibri"/>
          <w:szCs w:val="22"/>
        </w:rPr>
        <w:t xml:space="preserve"> (</w:t>
      </w:r>
      <w:r w:rsidR="003C1584" w:rsidRPr="008814D3">
        <w:rPr>
          <w:rFonts w:ascii="Calibri" w:hAnsi="Calibri" w:cs="Calibri"/>
          <w:szCs w:val="22"/>
        </w:rPr>
        <w:t xml:space="preserve">Ryan and </w:t>
      </w:r>
      <w:proofErr w:type="spellStart"/>
      <w:r w:rsidR="003C1584" w:rsidRPr="008814D3">
        <w:rPr>
          <w:rFonts w:ascii="Calibri" w:hAnsi="Calibri" w:cs="Calibri"/>
          <w:szCs w:val="22"/>
        </w:rPr>
        <w:t>Sibieta</w:t>
      </w:r>
      <w:proofErr w:type="spellEnd"/>
      <w:r w:rsidR="003C1584" w:rsidRPr="008814D3">
        <w:rPr>
          <w:rFonts w:ascii="Calibri" w:hAnsi="Calibri" w:cs="Calibri"/>
          <w:szCs w:val="22"/>
        </w:rPr>
        <w:t>, 2010, p.</w:t>
      </w:r>
      <w:r w:rsidR="003C1584">
        <w:rPr>
          <w:rFonts w:ascii="Calibri" w:hAnsi="Calibri" w:cs="Calibri"/>
          <w:szCs w:val="22"/>
        </w:rPr>
        <w:t xml:space="preserve"> 2; </w:t>
      </w:r>
      <w:r w:rsidRPr="008814D3">
        <w:rPr>
          <w:rFonts w:ascii="Calibri" w:hAnsi="Calibri" w:cs="Calibri"/>
          <w:szCs w:val="22"/>
        </w:rPr>
        <w:t xml:space="preserve">OECD, 2012, p.257). </w:t>
      </w:r>
    </w:p>
    <w:p w14:paraId="0FE21A3B" w14:textId="77777777" w:rsidR="005F3433" w:rsidRPr="008814D3" w:rsidRDefault="005F3433" w:rsidP="00E8255E">
      <w:pPr>
        <w:shd w:val="clear" w:color="auto" w:fill="FFFFFF"/>
        <w:rPr>
          <w:rFonts w:ascii="Calibri" w:hAnsi="Calibri" w:cs="Calibri"/>
          <w:szCs w:val="22"/>
        </w:rPr>
      </w:pPr>
    </w:p>
    <w:p w14:paraId="3E6225BE" w14:textId="1A6D527F" w:rsidR="002B77F7" w:rsidRPr="008814D3" w:rsidRDefault="005F3433" w:rsidP="00E8255E">
      <w:pPr>
        <w:shd w:val="clear" w:color="auto" w:fill="FFFFFF"/>
        <w:rPr>
          <w:rFonts w:ascii="Calibri" w:hAnsi="Calibri" w:cs="Calibri"/>
          <w:szCs w:val="22"/>
        </w:rPr>
      </w:pPr>
      <w:r w:rsidRPr="008814D3">
        <w:rPr>
          <w:rFonts w:ascii="Calibri" w:hAnsi="Calibri" w:cs="Calibri"/>
          <w:szCs w:val="22"/>
        </w:rPr>
        <w:t xml:space="preserve">Perhaps more significantly, Tawney also challenges the commonly perceived purposes of education: </w:t>
      </w:r>
    </w:p>
    <w:p w14:paraId="6F028B4E" w14:textId="77777777" w:rsidR="002B77F7" w:rsidRPr="008814D3" w:rsidRDefault="002B77F7" w:rsidP="00E8255E">
      <w:pPr>
        <w:shd w:val="clear" w:color="auto" w:fill="FFFFFF"/>
        <w:rPr>
          <w:rFonts w:ascii="Calibri" w:hAnsi="Calibri" w:cs="Calibri"/>
          <w:szCs w:val="22"/>
        </w:rPr>
      </w:pPr>
    </w:p>
    <w:p w14:paraId="4891BF86" w14:textId="442240AC" w:rsidR="002B77F7" w:rsidRPr="008814D3" w:rsidRDefault="005F3433" w:rsidP="00E8255E">
      <w:pPr>
        <w:shd w:val="clear" w:color="auto" w:fill="FFFFFF"/>
        <w:ind w:left="720"/>
        <w:rPr>
          <w:rFonts w:ascii="Calibri" w:hAnsi="Calibri" w:cs="Calibri"/>
          <w:szCs w:val="22"/>
        </w:rPr>
      </w:pPr>
      <w:r w:rsidRPr="008814D3">
        <w:rPr>
          <w:rFonts w:ascii="Calibri" w:hAnsi="Calibri" w:cs="Calibri"/>
          <w:szCs w:val="22"/>
        </w:rPr>
        <w:t>individual happiness does not only require that men [</w:t>
      </w:r>
      <w:r w:rsidRPr="008F6B15">
        <w:rPr>
          <w:rFonts w:ascii="Calibri" w:hAnsi="Calibri" w:cs="Calibri"/>
          <w:i/>
          <w:iCs/>
          <w:szCs w:val="22"/>
        </w:rPr>
        <w:t>sic</w:t>
      </w:r>
      <w:r w:rsidRPr="008814D3">
        <w:rPr>
          <w:rFonts w:ascii="Calibri" w:hAnsi="Calibri" w:cs="Calibri"/>
          <w:szCs w:val="22"/>
        </w:rPr>
        <w:t>] should be free to rise to new positions of comfort and distinction; it also requires that they should be able to lead a life of dignity and culture, whether they rise or not, and that, whatever their position on the economic scale may be, it shall be such as is fit to be occupied by men</w:t>
      </w:r>
      <w:r w:rsidR="00A42EA2">
        <w:rPr>
          <w:rFonts w:ascii="Calibri" w:hAnsi="Calibri" w:cs="Calibri"/>
          <w:szCs w:val="22"/>
        </w:rPr>
        <w:t>.</w:t>
      </w:r>
      <w:r w:rsidRPr="008814D3">
        <w:rPr>
          <w:rFonts w:ascii="Calibri" w:hAnsi="Calibri" w:cs="Calibri"/>
          <w:szCs w:val="22"/>
        </w:rPr>
        <w:t xml:space="preserve"> (Tawney, 1931, p.146)</w:t>
      </w:r>
      <w:r w:rsidR="00CA0AEB">
        <w:rPr>
          <w:rFonts w:ascii="Calibri" w:hAnsi="Calibri" w:cs="Calibri"/>
          <w:szCs w:val="22"/>
        </w:rPr>
        <w:t xml:space="preserve"> </w:t>
      </w:r>
    </w:p>
    <w:p w14:paraId="597ECDFB" w14:textId="77777777" w:rsidR="002B77F7" w:rsidRPr="008814D3" w:rsidRDefault="002B77F7" w:rsidP="00E8255E">
      <w:pPr>
        <w:shd w:val="clear" w:color="auto" w:fill="FFFFFF"/>
        <w:rPr>
          <w:rFonts w:ascii="Calibri" w:hAnsi="Calibri" w:cs="Calibri"/>
          <w:szCs w:val="22"/>
        </w:rPr>
      </w:pPr>
    </w:p>
    <w:p w14:paraId="701506DF" w14:textId="2C1887E6"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 xml:space="preserve">This is another cause of educational injustice: the utilitarian and instrumental imperative that the purpose of education is to valorise and maximise the </w:t>
      </w:r>
      <w:r w:rsidRPr="008814D3">
        <w:rPr>
          <w:rFonts w:ascii="Calibri" w:hAnsi="Calibri" w:cs="Calibri"/>
          <w:i/>
          <w:szCs w:val="22"/>
        </w:rPr>
        <w:t xml:space="preserve">economic </w:t>
      </w:r>
      <w:r w:rsidRPr="008814D3">
        <w:rPr>
          <w:rFonts w:ascii="Calibri" w:hAnsi="Calibri" w:cs="Calibri"/>
          <w:szCs w:val="22"/>
        </w:rPr>
        <w:t>capacity of every individual.</w:t>
      </w:r>
      <w:r w:rsidR="00CA0AEB">
        <w:rPr>
          <w:rFonts w:ascii="Calibri" w:hAnsi="Calibri" w:cs="Calibri"/>
          <w:szCs w:val="22"/>
        </w:rPr>
        <w:t xml:space="preserve"> </w:t>
      </w:r>
      <w:r w:rsidRPr="008814D3">
        <w:rPr>
          <w:rFonts w:ascii="Calibri" w:hAnsi="Calibri" w:cs="Calibri"/>
          <w:szCs w:val="22"/>
        </w:rPr>
        <w:t xml:space="preserve">Griffiths has challenged this, writing that education should </w:t>
      </w:r>
      <w:r w:rsidR="002B77F7" w:rsidRPr="008814D3">
        <w:rPr>
          <w:rFonts w:ascii="Calibri" w:hAnsi="Calibri" w:cs="Calibri"/>
          <w:szCs w:val="22"/>
        </w:rPr>
        <w:t>‘</w:t>
      </w:r>
      <w:r w:rsidRPr="008814D3">
        <w:rPr>
          <w:rFonts w:ascii="Calibri" w:hAnsi="Calibri" w:cs="Calibri"/>
          <w:szCs w:val="22"/>
        </w:rPr>
        <w:t>also concern itself with living educational experiences as part of what makes a good life</w:t>
      </w:r>
      <w:r w:rsidR="002B77F7" w:rsidRPr="008814D3">
        <w:rPr>
          <w:rFonts w:ascii="Calibri" w:hAnsi="Calibri" w:cs="Calibri"/>
          <w:szCs w:val="22"/>
        </w:rPr>
        <w:t>’</w:t>
      </w:r>
      <w:r w:rsidRPr="008814D3">
        <w:rPr>
          <w:rFonts w:ascii="Calibri" w:hAnsi="Calibri" w:cs="Calibri"/>
          <w:szCs w:val="22"/>
        </w:rPr>
        <w:t xml:space="preserve"> (2012, p.</w:t>
      </w:r>
      <w:r w:rsidR="002B77F7" w:rsidRPr="008814D3">
        <w:rPr>
          <w:rFonts w:ascii="Calibri" w:hAnsi="Calibri" w:cs="Calibri"/>
          <w:szCs w:val="22"/>
        </w:rPr>
        <w:t xml:space="preserve"> </w:t>
      </w:r>
      <w:r w:rsidRPr="008814D3">
        <w:rPr>
          <w:rFonts w:ascii="Calibri" w:hAnsi="Calibri" w:cs="Calibri"/>
          <w:szCs w:val="22"/>
        </w:rPr>
        <w:t>655).</w:t>
      </w:r>
      <w:r w:rsidR="00CA0AEB">
        <w:rPr>
          <w:rFonts w:ascii="Calibri" w:hAnsi="Calibri" w:cs="Calibri"/>
          <w:szCs w:val="22"/>
        </w:rPr>
        <w:t xml:space="preserve"> </w:t>
      </w:r>
      <w:r w:rsidRPr="008814D3">
        <w:rPr>
          <w:rFonts w:ascii="Calibri" w:hAnsi="Calibri" w:cs="Calibri"/>
          <w:szCs w:val="22"/>
        </w:rPr>
        <w:t xml:space="preserve">Education should be valued when </w:t>
      </w:r>
      <w:r w:rsidR="002B77F7" w:rsidRPr="008814D3">
        <w:rPr>
          <w:rFonts w:ascii="Calibri" w:hAnsi="Calibri" w:cs="Calibri"/>
          <w:szCs w:val="22"/>
        </w:rPr>
        <w:t>‘</w:t>
      </w:r>
      <w:r w:rsidRPr="008814D3">
        <w:rPr>
          <w:rFonts w:ascii="Calibri" w:hAnsi="Calibri" w:cs="Calibri"/>
          <w:szCs w:val="22"/>
        </w:rPr>
        <w:t>it cultivates valued outcomes in an individual, such as autonomy, citizenship, imagination and critical thinking, all of which are significant for the establishment of cohesive, democratic and free societies</w:t>
      </w:r>
      <w:r w:rsidR="002B77F7" w:rsidRPr="008814D3">
        <w:rPr>
          <w:rFonts w:ascii="Calibri" w:hAnsi="Calibri" w:cs="Calibri"/>
          <w:szCs w:val="22"/>
        </w:rPr>
        <w:t>’</w:t>
      </w:r>
      <w:r w:rsidRPr="008814D3">
        <w:rPr>
          <w:rFonts w:ascii="Calibri" w:hAnsi="Calibri" w:cs="Calibri"/>
          <w:szCs w:val="22"/>
        </w:rPr>
        <w:t xml:space="preserve"> (p.</w:t>
      </w:r>
      <w:r w:rsidR="002B77F7" w:rsidRPr="008814D3">
        <w:rPr>
          <w:rFonts w:ascii="Calibri" w:hAnsi="Calibri" w:cs="Calibri"/>
          <w:szCs w:val="22"/>
        </w:rPr>
        <w:t xml:space="preserve"> </w:t>
      </w:r>
      <w:r w:rsidRPr="008814D3">
        <w:rPr>
          <w:rFonts w:ascii="Calibri" w:hAnsi="Calibri" w:cs="Calibri"/>
          <w:szCs w:val="22"/>
        </w:rPr>
        <w:t>656).</w:t>
      </w:r>
      <w:r w:rsidR="002B77F7" w:rsidRPr="008814D3">
        <w:rPr>
          <w:rFonts w:ascii="Calibri" w:hAnsi="Calibri" w:cs="Calibri"/>
          <w:szCs w:val="22"/>
        </w:rPr>
        <w:t xml:space="preserve"> </w:t>
      </w:r>
      <w:r w:rsidRPr="008814D3">
        <w:rPr>
          <w:rFonts w:ascii="Calibri" w:hAnsi="Calibri" w:cs="Calibri"/>
          <w:szCs w:val="22"/>
        </w:rPr>
        <w:t xml:space="preserve">Such a conception of education, of cultivating or building the individual within and as part of broader society is cognate with the German educational tradition of </w:t>
      </w:r>
      <w:proofErr w:type="spellStart"/>
      <w:r w:rsidRPr="008814D3">
        <w:rPr>
          <w:rFonts w:ascii="Calibri" w:hAnsi="Calibri" w:cs="Calibri"/>
          <w:i/>
          <w:szCs w:val="22"/>
        </w:rPr>
        <w:t>Bildung</w:t>
      </w:r>
      <w:proofErr w:type="spellEnd"/>
      <w:r w:rsidRPr="008814D3">
        <w:rPr>
          <w:rFonts w:ascii="Calibri" w:hAnsi="Calibri" w:cs="Calibri"/>
          <w:szCs w:val="22"/>
        </w:rPr>
        <w:t>, the cultural maturation of the self, recognising individual diversities, developing agency, talents and abilities.</w:t>
      </w:r>
      <w:r w:rsidR="00CA0AEB">
        <w:rPr>
          <w:rFonts w:ascii="Calibri" w:hAnsi="Calibri" w:cs="Calibri"/>
          <w:szCs w:val="22"/>
        </w:rPr>
        <w:t xml:space="preserve"> </w:t>
      </w:r>
      <w:proofErr w:type="spellStart"/>
      <w:r w:rsidRPr="008814D3">
        <w:rPr>
          <w:rFonts w:ascii="Calibri" w:hAnsi="Calibri" w:cs="Calibri"/>
          <w:i/>
          <w:iCs/>
          <w:szCs w:val="22"/>
        </w:rPr>
        <w:t>Bildung</w:t>
      </w:r>
      <w:proofErr w:type="spellEnd"/>
      <w:r w:rsidRPr="008814D3">
        <w:rPr>
          <w:rFonts w:ascii="Calibri" w:hAnsi="Calibri" w:cs="Calibri"/>
          <w:szCs w:val="22"/>
        </w:rPr>
        <w:t xml:space="preserve"> is thus, as </w:t>
      </w:r>
      <w:r w:rsidR="00A42EA2">
        <w:rPr>
          <w:rFonts w:ascii="Calibri" w:hAnsi="Calibri" w:cs="Calibri"/>
          <w:szCs w:val="22"/>
        </w:rPr>
        <w:t xml:space="preserve">Georg </w:t>
      </w:r>
      <w:r w:rsidRPr="008814D3">
        <w:rPr>
          <w:rFonts w:ascii="Calibri" w:hAnsi="Calibri" w:cs="Calibri"/>
          <w:szCs w:val="22"/>
        </w:rPr>
        <w:t>Hegel argued (1986</w:t>
      </w:r>
      <w:r w:rsidR="002B77F7" w:rsidRPr="008814D3">
        <w:rPr>
          <w:rFonts w:ascii="Calibri" w:hAnsi="Calibri" w:cs="Calibri"/>
          <w:szCs w:val="22"/>
        </w:rPr>
        <w:t xml:space="preserve"> [</w:t>
      </w:r>
      <w:r w:rsidR="004F264E" w:rsidRPr="008814D3">
        <w:rPr>
          <w:rFonts w:ascii="Calibri" w:hAnsi="Calibri" w:cs="Calibri"/>
          <w:szCs w:val="22"/>
        </w:rPr>
        <w:t>1840]</w:t>
      </w:r>
      <w:r w:rsidRPr="008814D3">
        <w:rPr>
          <w:rFonts w:ascii="Calibri" w:hAnsi="Calibri" w:cs="Calibri"/>
          <w:szCs w:val="22"/>
        </w:rPr>
        <w:t>), about keeping oneself open to that which is the other (Jurist, 2000).</w:t>
      </w:r>
    </w:p>
    <w:p w14:paraId="71B5971D" w14:textId="77777777" w:rsidR="005F3433" w:rsidRPr="008814D3" w:rsidRDefault="005F3433" w:rsidP="00E8255E">
      <w:pPr>
        <w:shd w:val="clear" w:color="auto" w:fill="FFFFFF"/>
        <w:rPr>
          <w:rFonts w:ascii="Calibri" w:hAnsi="Calibri" w:cs="Calibri"/>
          <w:szCs w:val="22"/>
        </w:rPr>
      </w:pPr>
    </w:p>
    <w:p w14:paraId="5E732859" w14:textId="39A19E93" w:rsidR="005F3433" w:rsidRPr="008814D3" w:rsidRDefault="005F3433" w:rsidP="00E8255E">
      <w:pPr>
        <w:shd w:val="clear" w:color="auto" w:fill="FFFFFF"/>
        <w:textAlignment w:val="baseline"/>
        <w:rPr>
          <w:rFonts w:ascii="Calibri" w:hAnsi="Calibri" w:cs="Calibri"/>
          <w:szCs w:val="22"/>
        </w:rPr>
      </w:pPr>
      <w:r w:rsidRPr="008814D3">
        <w:rPr>
          <w:rFonts w:ascii="Calibri" w:hAnsi="Calibri" w:cs="Calibri"/>
          <w:szCs w:val="22"/>
        </w:rPr>
        <w:t xml:space="preserve">Griffiths maintains that education should be liberal, in the </w:t>
      </w:r>
      <w:proofErr w:type="spellStart"/>
      <w:r w:rsidRPr="008814D3">
        <w:rPr>
          <w:rFonts w:ascii="Calibri" w:hAnsi="Calibri" w:cs="Calibri"/>
          <w:i/>
          <w:szCs w:val="22"/>
        </w:rPr>
        <w:t>Bildung</w:t>
      </w:r>
      <w:proofErr w:type="spellEnd"/>
      <w:r w:rsidRPr="008814D3">
        <w:rPr>
          <w:rFonts w:ascii="Calibri" w:hAnsi="Calibri" w:cs="Calibri"/>
          <w:szCs w:val="22"/>
        </w:rPr>
        <w:t xml:space="preserve"> sense, as being an intrinsically pleasurable process that is </w:t>
      </w:r>
      <w:r w:rsidR="00E8255E" w:rsidRPr="008814D3">
        <w:rPr>
          <w:rFonts w:ascii="Calibri" w:hAnsi="Calibri" w:cs="Calibri"/>
          <w:szCs w:val="22"/>
        </w:rPr>
        <w:t>‘</w:t>
      </w:r>
      <w:r w:rsidRPr="008814D3">
        <w:rPr>
          <w:rFonts w:ascii="Calibri" w:hAnsi="Calibri" w:cs="Calibri"/>
          <w:szCs w:val="22"/>
        </w:rPr>
        <w:t>part of what makes a good life good, not just as part of what is requires to produce a good life [in the future]</w:t>
      </w:r>
      <w:r w:rsidR="00E8255E" w:rsidRPr="008814D3">
        <w:rPr>
          <w:rFonts w:ascii="Calibri" w:hAnsi="Calibri" w:cs="Calibri"/>
          <w:szCs w:val="22"/>
        </w:rPr>
        <w:t>’</w:t>
      </w:r>
      <w:r w:rsidRPr="008814D3">
        <w:rPr>
          <w:rFonts w:ascii="Calibri" w:hAnsi="Calibri" w:cs="Calibri"/>
          <w:szCs w:val="22"/>
        </w:rPr>
        <w:t xml:space="preserve"> (2012, p.</w:t>
      </w:r>
      <w:r w:rsidR="00E8255E" w:rsidRPr="008814D3">
        <w:rPr>
          <w:rFonts w:ascii="Calibri" w:hAnsi="Calibri" w:cs="Calibri"/>
          <w:szCs w:val="22"/>
        </w:rPr>
        <w:t xml:space="preserve"> </w:t>
      </w:r>
      <w:r w:rsidRPr="008814D3">
        <w:rPr>
          <w:rFonts w:ascii="Calibri" w:hAnsi="Calibri" w:cs="Calibri"/>
          <w:szCs w:val="22"/>
        </w:rPr>
        <w:t>656). Such a broader, humanistic education has at its core both individual, personal growth and fulfilment, but also the improvement of society (and the whole of humankind).</w:t>
      </w:r>
      <w:r w:rsidR="00CA0AEB">
        <w:rPr>
          <w:rFonts w:ascii="Calibri" w:hAnsi="Calibri" w:cs="Calibri"/>
          <w:szCs w:val="22"/>
        </w:rPr>
        <w:t xml:space="preserve"> </w:t>
      </w:r>
      <w:r w:rsidRPr="008814D3">
        <w:rPr>
          <w:rFonts w:ascii="Calibri" w:hAnsi="Calibri" w:cs="Calibri"/>
          <w:szCs w:val="22"/>
        </w:rPr>
        <w:t xml:space="preserve">Eleonora Belfiore refers to humanities and arts education as having the power to </w:t>
      </w:r>
      <w:r w:rsidR="00E8255E" w:rsidRPr="008814D3">
        <w:rPr>
          <w:rFonts w:ascii="Calibri" w:hAnsi="Calibri" w:cs="Calibri"/>
          <w:szCs w:val="22"/>
        </w:rPr>
        <w:t>‘</w:t>
      </w:r>
      <w:r w:rsidRPr="008814D3">
        <w:rPr>
          <w:rFonts w:ascii="Calibri" w:hAnsi="Calibri" w:cs="Calibri"/>
          <w:szCs w:val="22"/>
        </w:rPr>
        <w:t>instil civic values, thus contributing to the progress of humankind</w:t>
      </w:r>
      <w:r w:rsidR="007A7C27">
        <w:rPr>
          <w:rFonts w:ascii="Calibri" w:hAnsi="Calibri" w:cs="Calibri"/>
          <w:szCs w:val="22"/>
        </w:rPr>
        <w:t>’</w:t>
      </w:r>
      <w:r w:rsidRPr="008814D3">
        <w:rPr>
          <w:rFonts w:ascii="Calibri" w:hAnsi="Calibri" w:cs="Calibri"/>
          <w:szCs w:val="22"/>
        </w:rPr>
        <w:t xml:space="preserve"> which </w:t>
      </w:r>
      <w:r w:rsidR="007A7C27">
        <w:rPr>
          <w:rFonts w:ascii="Calibri" w:hAnsi="Calibri" w:cs="Calibri"/>
          <w:szCs w:val="22"/>
        </w:rPr>
        <w:t>‘</w:t>
      </w:r>
      <w:r w:rsidRPr="008814D3">
        <w:rPr>
          <w:rFonts w:ascii="Calibri" w:hAnsi="Calibri" w:cs="Calibri"/>
          <w:szCs w:val="22"/>
        </w:rPr>
        <w:t>have a crucial moral function of guidance</w:t>
      </w:r>
      <w:r w:rsidR="00E8255E" w:rsidRPr="008814D3">
        <w:rPr>
          <w:rFonts w:ascii="Calibri" w:hAnsi="Calibri" w:cs="Calibri"/>
          <w:szCs w:val="22"/>
        </w:rPr>
        <w:t>’</w:t>
      </w:r>
      <w:r w:rsidRPr="008814D3">
        <w:rPr>
          <w:rFonts w:ascii="Calibri" w:hAnsi="Calibri" w:cs="Calibri"/>
          <w:szCs w:val="22"/>
        </w:rPr>
        <w:t xml:space="preserve"> (Belfiore, 2011, p.</w:t>
      </w:r>
      <w:r w:rsidR="00E8255E" w:rsidRPr="008814D3">
        <w:rPr>
          <w:rFonts w:ascii="Calibri" w:hAnsi="Calibri" w:cs="Calibri"/>
          <w:szCs w:val="22"/>
        </w:rPr>
        <w:t xml:space="preserve"> </w:t>
      </w:r>
      <w:r w:rsidRPr="008814D3">
        <w:rPr>
          <w:rFonts w:ascii="Calibri" w:hAnsi="Calibri" w:cs="Calibri"/>
          <w:szCs w:val="22"/>
        </w:rPr>
        <w:t xml:space="preserve">32). </w:t>
      </w:r>
    </w:p>
    <w:p w14:paraId="637C300C" w14:textId="77777777" w:rsidR="00AE28D8" w:rsidRPr="008814D3" w:rsidRDefault="00AE28D8" w:rsidP="00E8255E">
      <w:pPr>
        <w:shd w:val="clear" w:color="auto" w:fill="FFFFFF"/>
        <w:textAlignment w:val="baseline"/>
        <w:rPr>
          <w:rFonts w:ascii="Calibri" w:hAnsi="Calibri" w:cs="Calibri"/>
          <w:szCs w:val="22"/>
        </w:rPr>
      </w:pPr>
    </w:p>
    <w:p w14:paraId="5FDBB4AE" w14:textId="1CDA7B15" w:rsidR="007E6A47" w:rsidRDefault="005F3433" w:rsidP="00E8255E">
      <w:pPr>
        <w:shd w:val="clear" w:color="auto" w:fill="FFFFFF"/>
        <w:rPr>
          <w:rFonts w:ascii="Calibri" w:hAnsi="Calibri" w:cs="Calibri"/>
          <w:szCs w:val="22"/>
        </w:rPr>
      </w:pPr>
      <w:r w:rsidRPr="008814D3">
        <w:rPr>
          <w:rFonts w:ascii="Calibri" w:hAnsi="Calibri" w:cs="Calibri"/>
          <w:szCs w:val="22"/>
        </w:rPr>
        <w:t xml:space="preserve">This contrasts most uneasily with the exposition of the English Minister of State for Schools, Nick Gibb, in an address on ‘The purpose of </w:t>
      </w:r>
      <w:r w:rsidR="00126346">
        <w:rPr>
          <w:rFonts w:ascii="Calibri" w:hAnsi="Calibri" w:cs="Calibri"/>
          <w:szCs w:val="22"/>
        </w:rPr>
        <w:t>e</w:t>
      </w:r>
      <w:r w:rsidRPr="008814D3">
        <w:rPr>
          <w:rFonts w:ascii="Calibri" w:hAnsi="Calibri" w:cs="Calibri"/>
          <w:szCs w:val="22"/>
        </w:rPr>
        <w:t>ducation’ (Gibb, 2015</w:t>
      </w:r>
      <w:r w:rsidR="00D1369D">
        <w:rPr>
          <w:rFonts w:ascii="Calibri" w:hAnsi="Calibri" w:cs="Calibri"/>
          <w:szCs w:val="22"/>
        </w:rPr>
        <w:t>a</w:t>
      </w:r>
      <w:r w:rsidRPr="008814D3">
        <w:rPr>
          <w:rFonts w:ascii="Calibri" w:hAnsi="Calibri" w:cs="Calibri"/>
          <w:szCs w:val="22"/>
        </w:rPr>
        <w:t>). In this he stresses that</w:t>
      </w:r>
      <w:r w:rsidR="007E6A47">
        <w:rPr>
          <w:rFonts w:ascii="Calibri" w:hAnsi="Calibri" w:cs="Calibri"/>
          <w:szCs w:val="22"/>
        </w:rPr>
        <w:t>:</w:t>
      </w:r>
    </w:p>
    <w:p w14:paraId="015499BA" w14:textId="77777777" w:rsidR="007E6A47" w:rsidRDefault="007E6A47" w:rsidP="00E8255E">
      <w:pPr>
        <w:shd w:val="clear" w:color="auto" w:fill="FFFFFF"/>
        <w:rPr>
          <w:rFonts w:ascii="Calibri" w:hAnsi="Calibri" w:cs="Calibri"/>
          <w:szCs w:val="22"/>
        </w:rPr>
      </w:pPr>
    </w:p>
    <w:p w14:paraId="68760923" w14:textId="259A2427" w:rsidR="007E6A47" w:rsidRDefault="005F3433" w:rsidP="007E6A47">
      <w:pPr>
        <w:shd w:val="clear" w:color="auto" w:fill="FFFFFF"/>
        <w:ind w:left="720"/>
        <w:rPr>
          <w:rFonts w:ascii="Calibri" w:hAnsi="Calibri" w:cs="Calibri"/>
          <w:szCs w:val="22"/>
        </w:rPr>
      </w:pPr>
      <w:r w:rsidRPr="008814D3">
        <w:rPr>
          <w:rFonts w:ascii="Calibri" w:hAnsi="Calibri" w:cs="Calibri"/>
          <w:szCs w:val="22"/>
        </w:rPr>
        <w:t>Education is the engine of our economy, it is the foundation of our culture, and it’s an essential preparation for adult life. … [it is] about the practical business of ensuring that young people receive the preparation they need to secure a good job and a fulfilling career.</w:t>
      </w:r>
      <w:r w:rsidR="00CA0AEB">
        <w:rPr>
          <w:rFonts w:ascii="Calibri" w:hAnsi="Calibri" w:cs="Calibri"/>
          <w:szCs w:val="22"/>
        </w:rPr>
        <w:t xml:space="preserve"> </w:t>
      </w:r>
    </w:p>
    <w:p w14:paraId="2569ACC2" w14:textId="77777777" w:rsidR="007E6A47" w:rsidRDefault="007E6A47" w:rsidP="007E6A47">
      <w:pPr>
        <w:shd w:val="clear" w:color="auto" w:fill="FFFFFF"/>
        <w:rPr>
          <w:rFonts w:ascii="Calibri" w:hAnsi="Calibri" w:cs="Calibri"/>
          <w:szCs w:val="22"/>
        </w:rPr>
      </w:pPr>
    </w:p>
    <w:p w14:paraId="02DFBF12" w14:textId="1558AB14"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The purpose of schooling, he went on</w:t>
      </w:r>
      <w:r w:rsidR="00AB4965">
        <w:rPr>
          <w:rFonts w:ascii="Calibri" w:hAnsi="Calibri" w:cs="Calibri"/>
          <w:szCs w:val="22"/>
        </w:rPr>
        <w:t>,</w:t>
      </w:r>
      <w:r w:rsidRPr="008814D3">
        <w:rPr>
          <w:rFonts w:ascii="Calibri" w:hAnsi="Calibri" w:cs="Calibri"/>
          <w:szCs w:val="22"/>
        </w:rPr>
        <w:t xml:space="preserve"> was to </w:t>
      </w:r>
      <w:r w:rsidR="00AE28D8" w:rsidRPr="008814D3">
        <w:rPr>
          <w:rFonts w:ascii="Calibri" w:hAnsi="Calibri" w:cs="Calibri"/>
          <w:szCs w:val="22"/>
        </w:rPr>
        <w:t>‘</w:t>
      </w:r>
      <w:r w:rsidRPr="008814D3">
        <w:rPr>
          <w:rFonts w:ascii="Calibri" w:hAnsi="Calibri" w:cs="Calibri"/>
          <w:szCs w:val="22"/>
        </w:rPr>
        <w:t>ensure that more people have the knowledge and skills they need to succeed in a demanding economy… [which] starts by getting the basics right. Here too, our long-term performance has lagged behind those of our international competitors</w:t>
      </w:r>
      <w:r w:rsidR="00AE28D8" w:rsidRPr="008814D3">
        <w:rPr>
          <w:rFonts w:ascii="Calibri" w:hAnsi="Calibri" w:cs="Calibri"/>
          <w:szCs w:val="22"/>
        </w:rPr>
        <w:t>’</w:t>
      </w:r>
      <w:r w:rsidRPr="008814D3">
        <w:rPr>
          <w:rFonts w:ascii="Calibri" w:hAnsi="Calibri" w:cs="Calibri"/>
          <w:szCs w:val="22"/>
        </w:rPr>
        <w:t xml:space="preserve"> (Gibb, 2015</w:t>
      </w:r>
      <w:r w:rsidR="00F519A2">
        <w:rPr>
          <w:rFonts w:ascii="Calibri" w:hAnsi="Calibri" w:cs="Calibri"/>
          <w:szCs w:val="22"/>
        </w:rPr>
        <w:t>a</w:t>
      </w:r>
      <w:r w:rsidRPr="008814D3">
        <w:rPr>
          <w:rFonts w:ascii="Calibri" w:hAnsi="Calibri" w:cs="Calibri"/>
          <w:szCs w:val="22"/>
        </w:rPr>
        <w:t>).</w:t>
      </w:r>
      <w:r w:rsidR="00CA0AEB">
        <w:rPr>
          <w:rFonts w:ascii="Calibri" w:hAnsi="Calibri" w:cs="Calibri"/>
          <w:szCs w:val="22"/>
        </w:rPr>
        <w:t xml:space="preserve"> </w:t>
      </w:r>
      <w:r w:rsidRPr="008814D3">
        <w:rPr>
          <w:rFonts w:ascii="Calibri" w:hAnsi="Calibri" w:cs="Calibri"/>
          <w:szCs w:val="22"/>
        </w:rPr>
        <w:t>This sense of education as a competitive performance has pervaded the UK’s neoliberal discourse for more than 40 years, as will be examined in more detail below</w:t>
      </w:r>
      <w:r w:rsidR="00FB4C1B" w:rsidRPr="008814D3">
        <w:rPr>
          <w:rFonts w:ascii="Calibri" w:hAnsi="Calibri" w:cs="Calibri"/>
          <w:szCs w:val="22"/>
        </w:rPr>
        <w:t xml:space="preserve">, and Gibbs’ views on various aspects of teaching and testing in </w:t>
      </w:r>
      <w:r w:rsidR="008B2F69" w:rsidRPr="008814D3">
        <w:rPr>
          <w:rFonts w:ascii="Calibri" w:hAnsi="Calibri" w:cs="Calibri"/>
          <w:szCs w:val="22"/>
        </w:rPr>
        <w:t>Chapter 3</w:t>
      </w:r>
      <w:r w:rsidR="008B2F69">
        <w:rPr>
          <w:rFonts w:ascii="Calibri" w:hAnsi="Calibri" w:cs="Calibri"/>
          <w:szCs w:val="22"/>
        </w:rPr>
        <w:t>, (</w:t>
      </w:r>
      <w:r w:rsidR="00B034F2" w:rsidRPr="008814D3">
        <w:rPr>
          <w:rFonts w:ascii="Calibri" w:hAnsi="Calibri" w:cs="Calibri"/>
          <w:szCs w:val="22"/>
        </w:rPr>
        <w:t>Hutchings</w:t>
      </w:r>
      <w:r w:rsidR="008B2F69">
        <w:rPr>
          <w:rFonts w:ascii="Calibri" w:hAnsi="Calibri" w:cs="Calibri"/>
          <w:szCs w:val="22"/>
        </w:rPr>
        <w:t xml:space="preserve">, </w:t>
      </w:r>
      <w:r w:rsidR="00581FE7" w:rsidRPr="008814D3">
        <w:rPr>
          <w:rFonts w:ascii="Calibri" w:hAnsi="Calibri" w:cs="Calibri"/>
          <w:szCs w:val="22"/>
        </w:rPr>
        <w:t>2020</w:t>
      </w:r>
      <w:r w:rsidR="002D310B">
        <w:rPr>
          <w:rFonts w:ascii="Calibri" w:hAnsi="Calibri" w:cs="Calibri"/>
          <w:szCs w:val="22"/>
        </w:rPr>
        <w:t>a</w:t>
      </w:r>
      <w:r w:rsidR="00B034F2" w:rsidRPr="008814D3">
        <w:rPr>
          <w:rFonts w:ascii="Calibri" w:hAnsi="Calibri" w:cs="Calibri"/>
          <w:szCs w:val="22"/>
        </w:rPr>
        <w:t>)</w:t>
      </w:r>
      <w:r w:rsidRPr="008814D3">
        <w:rPr>
          <w:rFonts w:ascii="Calibri" w:hAnsi="Calibri" w:cs="Calibri"/>
          <w:szCs w:val="22"/>
        </w:rPr>
        <w:t xml:space="preserve">. By comparison, the Scottish Executive’s policy of the purpose of education is significantly broader, less instrumental, and aspire to combine both individual and societal outcomes and benefits: </w:t>
      </w:r>
      <w:r w:rsidR="007A7C27">
        <w:rPr>
          <w:rFonts w:ascii="Calibri" w:hAnsi="Calibri" w:cs="Calibri"/>
          <w:szCs w:val="22"/>
        </w:rPr>
        <w:t>‘</w:t>
      </w:r>
      <w:r w:rsidRPr="008814D3">
        <w:rPr>
          <w:rFonts w:ascii="Calibri" w:hAnsi="Calibri" w:cs="Calibri"/>
          <w:szCs w:val="22"/>
        </w:rPr>
        <w:t>our aspiration for all children and for every young person is that they should be successful learners, confident individuals, responsible citizens and effective contributors to society and at work</w:t>
      </w:r>
      <w:r w:rsidR="007A7C27">
        <w:rPr>
          <w:rFonts w:ascii="Calibri" w:hAnsi="Calibri" w:cs="Calibri"/>
          <w:szCs w:val="22"/>
        </w:rPr>
        <w:t>’</w:t>
      </w:r>
      <w:r w:rsidR="00CA0AEB">
        <w:rPr>
          <w:rFonts w:ascii="Calibri" w:hAnsi="Calibri" w:cs="Calibri"/>
          <w:szCs w:val="22"/>
        </w:rPr>
        <w:t xml:space="preserve"> </w:t>
      </w:r>
      <w:r w:rsidRPr="008814D3">
        <w:rPr>
          <w:rFonts w:ascii="Calibri" w:hAnsi="Calibri" w:cs="Calibri"/>
          <w:szCs w:val="22"/>
        </w:rPr>
        <w:t>(Curriculum Review Group, 2004, p.</w:t>
      </w:r>
      <w:r w:rsidR="00581FE7" w:rsidRPr="008814D3">
        <w:rPr>
          <w:rFonts w:ascii="Calibri" w:hAnsi="Calibri" w:cs="Calibri"/>
          <w:szCs w:val="22"/>
        </w:rPr>
        <w:t xml:space="preserve"> </w:t>
      </w:r>
      <w:r w:rsidRPr="008814D3">
        <w:rPr>
          <w:rFonts w:ascii="Calibri" w:hAnsi="Calibri" w:cs="Calibri"/>
          <w:szCs w:val="22"/>
        </w:rPr>
        <w:t>12).</w:t>
      </w:r>
    </w:p>
    <w:p w14:paraId="5CB1B5C2" w14:textId="77777777" w:rsidR="005F3433" w:rsidRPr="008814D3" w:rsidRDefault="005F3433" w:rsidP="00E8255E">
      <w:pPr>
        <w:pStyle w:val="NormalWeb"/>
        <w:shd w:val="clear" w:color="auto" w:fill="FDFDFD"/>
        <w:spacing w:before="0" w:beforeAutospacing="0" w:after="0" w:afterAutospacing="0"/>
        <w:textAlignment w:val="baseline"/>
        <w:rPr>
          <w:rFonts w:ascii="Tahoma" w:hAnsi="Tahoma" w:cs="Tahoma"/>
          <w:sz w:val="23"/>
          <w:szCs w:val="23"/>
        </w:rPr>
      </w:pPr>
    </w:p>
    <w:p w14:paraId="2896B15E" w14:textId="77777777" w:rsidR="005F3433" w:rsidRPr="008814D3" w:rsidRDefault="005F3433" w:rsidP="00E8255E">
      <w:pPr>
        <w:pStyle w:val="NormalWeb"/>
        <w:shd w:val="clear" w:color="auto" w:fill="FDFDFD"/>
        <w:spacing w:before="0" w:beforeAutospacing="0" w:after="0" w:afterAutospacing="0"/>
        <w:textAlignment w:val="baseline"/>
        <w:rPr>
          <w:rFonts w:ascii="Calibri" w:hAnsi="Calibri" w:cs="Calibri"/>
          <w:b/>
          <w:szCs w:val="22"/>
        </w:rPr>
      </w:pPr>
    </w:p>
    <w:p w14:paraId="381F1E1E" w14:textId="778E94F9" w:rsidR="005F3433" w:rsidRPr="008814D3" w:rsidRDefault="005F3433" w:rsidP="00581FE7">
      <w:pPr>
        <w:pStyle w:val="Heading2"/>
      </w:pPr>
      <w:r w:rsidRPr="008814D3">
        <w:t xml:space="preserve">What do </w:t>
      </w:r>
      <w:r w:rsidR="00EB2254" w:rsidRPr="008814D3">
        <w:t>we mean by social justice and equity?</w:t>
      </w:r>
      <w:r w:rsidR="00EB2254">
        <w:t xml:space="preserve"> </w:t>
      </w:r>
    </w:p>
    <w:p w14:paraId="1CD33CDE" w14:textId="77777777" w:rsidR="005F3433" w:rsidRPr="008814D3" w:rsidRDefault="005F3433" w:rsidP="00E8255E">
      <w:pPr>
        <w:pStyle w:val="NormalWeb"/>
        <w:shd w:val="clear" w:color="auto" w:fill="FDFDFD"/>
        <w:spacing w:before="0" w:beforeAutospacing="0" w:after="0" w:afterAutospacing="0"/>
        <w:textAlignment w:val="baseline"/>
        <w:rPr>
          <w:rFonts w:ascii="Calibri" w:hAnsi="Calibri" w:cs="Calibri"/>
          <w:szCs w:val="22"/>
        </w:rPr>
      </w:pPr>
    </w:p>
    <w:p w14:paraId="6ED2CD90" w14:textId="22A79219" w:rsidR="005F3433" w:rsidRDefault="005F3433" w:rsidP="00E8255E">
      <w:pPr>
        <w:pStyle w:val="NormalWeb"/>
        <w:shd w:val="clear" w:color="auto" w:fill="FDFDFD"/>
        <w:spacing w:before="0" w:beforeAutospacing="0" w:after="0" w:afterAutospacing="0"/>
        <w:textAlignment w:val="baseline"/>
        <w:rPr>
          <w:rFonts w:ascii="Calibri" w:hAnsi="Calibri" w:cs="Calibri"/>
          <w:szCs w:val="22"/>
        </w:rPr>
      </w:pPr>
      <w:r w:rsidRPr="008814D3">
        <w:rPr>
          <w:rFonts w:ascii="Calibri" w:hAnsi="Calibri" w:cs="Calibri"/>
          <w:szCs w:val="22"/>
        </w:rPr>
        <w:t>Before examining our approach to the key terms that define this book series – ‘educational science’ and ‘public good’ – it may help to offer some notes towards a definition of our underlying axiological drivers, social justice and equity.</w:t>
      </w:r>
    </w:p>
    <w:p w14:paraId="119C8434" w14:textId="77777777" w:rsidR="00B04FDA" w:rsidRPr="008814D3" w:rsidRDefault="00B04FDA" w:rsidP="00E8255E">
      <w:pPr>
        <w:pStyle w:val="NormalWeb"/>
        <w:shd w:val="clear" w:color="auto" w:fill="FDFDFD"/>
        <w:spacing w:before="0" w:beforeAutospacing="0" w:after="0" w:afterAutospacing="0"/>
        <w:textAlignment w:val="baseline"/>
        <w:rPr>
          <w:rFonts w:ascii="Calibri" w:hAnsi="Calibri" w:cs="Calibri"/>
          <w:szCs w:val="22"/>
        </w:rPr>
      </w:pPr>
    </w:p>
    <w:p w14:paraId="2EA44839" w14:textId="1D2332C4" w:rsidR="005F3433" w:rsidRPr="008814D3" w:rsidRDefault="005F3433" w:rsidP="00E8255E">
      <w:pPr>
        <w:pStyle w:val="NormalWeb"/>
        <w:shd w:val="clear" w:color="auto" w:fill="FDFDFD"/>
        <w:spacing w:before="0" w:beforeAutospacing="0" w:after="0" w:afterAutospacing="0"/>
        <w:textAlignment w:val="baseline"/>
        <w:rPr>
          <w:rFonts w:ascii="Calibri" w:hAnsi="Calibri" w:cs="Calibri"/>
          <w:szCs w:val="22"/>
        </w:rPr>
      </w:pPr>
      <w:r w:rsidRPr="008814D3">
        <w:rPr>
          <w:rFonts w:ascii="Calibri" w:hAnsi="Calibri" w:cs="Calibri"/>
          <w:szCs w:val="22"/>
        </w:rPr>
        <w:t>In some ways, equality has been a particularly British (or more precisely, English) obsession. Matthew Arnold (</w:t>
      </w:r>
      <w:r w:rsidR="00581FE7" w:rsidRPr="008814D3">
        <w:rPr>
          <w:rFonts w:ascii="Calibri" w:hAnsi="Calibri" w:cs="Calibri"/>
          <w:szCs w:val="22"/>
        </w:rPr>
        <w:t xml:space="preserve">the </w:t>
      </w:r>
      <w:r w:rsidRPr="008814D3">
        <w:rPr>
          <w:rFonts w:ascii="Calibri" w:hAnsi="Calibri" w:cs="Calibri"/>
          <w:szCs w:val="22"/>
        </w:rPr>
        <w:t>poet</w:t>
      </w:r>
      <w:r w:rsidR="00581FE7" w:rsidRPr="008814D3">
        <w:rPr>
          <w:rFonts w:ascii="Calibri" w:hAnsi="Calibri" w:cs="Calibri"/>
          <w:szCs w:val="22"/>
        </w:rPr>
        <w:t xml:space="preserve"> and</w:t>
      </w:r>
      <w:r w:rsidRPr="008814D3">
        <w:rPr>
          <w:rFonts w:ascii="Calibri" w:hAnsi="Calibri" w:cs="Calibri"/>
          <w:szCs w:val="22"/>
        </w:rPr>
        <w:t xml:space="preserve"> critic – and the Chief Inspector o</w:t>
      </w:r>
      <w:r w:rsidR="00581FE7" w:rsidRPr="008814D3">
        <w:rPr>
          <w:rFonts w:ascii="Calibri" w:hAnsi="Calibri" w:cs="Calibri"/>
          <w:szCs w:val="22"/>
        </w:rPr>
        <w:t>f</w:t>
      </w:r>
      <w:r w:rsidRPr="008814D3">
        <w:rPr>
          <w:rFonts w:ascii="Calibri" w:hAnsi="Calibri" w:cs="Calibri"/>
          <w:szCs w:val="22"/>
        </w:rPr>
        <w:t xml:space="preserve"> English state schools in the 1880s) spoke of the English </w:t>
      </w:r>
      <w:r w:rsidR="00581FE7" w:rsidRPr="008814D3">
        <w:rPr>
          <w:rFonts w:ascii="Calibri" w:hAnsi="Calibri" w:cs="Calibri"/>
          <w:szCs w:val="22"/>
        </w:rPr>
        <w:t>‘</w:t>
      </w:r>
      <w:r w:rsidRPr="008814D3">
        <w:rPr>
          <w:rFonts w:ascii="Calibri" w:hAnsi="Calibri" w:cs="Calibri"/>
          <w:szCs w:val="22"/>
        </w:rPr>
        <w:t>religion of inequality</w:t>
      </w:r>
      <w:r w:rsidR="00581FE7" w:rsidRPr="008814D3">
        <w:rPr>
          <w:rFonts w:ascii="Calibri" w:hAnsi="Calibri" w:cs="Calibri"/>
          <w:szCs w:val="22"/>
        </w:rPr>
        <w:t>’</w:t>
      </w:r>
      <w:r w:rsidRPr="008814D3">
        <w:rPr>
          <w:rFonts w:ascii="Calibri" w:hAnsi="Calibri" w:cs="Calibri"/>
          <w:szCs w:val="22"/>
        </w:rPr>
        <w:t xml:space="preserve"> (1878, p</w:t>
      </w:r>
      <w:r w:rsidR="00581FE7" w:rsidRPr="008814D3">
        <w:rPr>
          <w:rFonts w:ascii="Calibri" w:hAnsi="Calibri" w:cs="Calibri"/>
          <w:szCs w:val="22"/>
        </w:rPr>
        <w:t xml:space="preserve">. </w:t>
      </w:r>
      <w:r w:rsidRPr="008814D3">
        <w:rPr>
          <w:rFonts w:ascii="Calibri" w:hAnsi="Calibri" w:cs="Calibri"/>
          <w:szCs w:val="22"/>
        </w:rPr>
        <w:t xml:space="preserve">333). In an address to the Royal Institution, he spoke of the greed of the aristocratic and middle classes for </w:t>
      </w:r>
      <w:r w:rsidR="00581FE7" w:rsidRPr="008814D3">
        <w:rPr>
          <w:rFonts w:ascii="Calibri" w:hAnsi="Calibri" w:cs="Calibri"/>
          <w:szCs w:val="22"/>
        </w:rPr>
        <w:t>‘</w:t>
      </w:r>
      <w:r w:rsidRPr="008814D3">
        <w:rPr>
          <w:rFonts w:ascii="Calibri" w:hAnsi="Calibri" w:cs="Calibri"/>
          <w:szCs w:val="22"/>
        </w:rPr>
        <w:t>wishing and trying for the bigger share</w:t>
      </w:r>
      <w:r w:rsidR="00581FE7" w:rsidRPr="008814D3">
        <w:rPr>
          <w:rFonts w:ascii="Calibri" w:hAnsi="Calibri" w:cs="Calibri"/>
          <w:szCs w:val="22"/>
        </w:rPr>
        <w:t>’</w:t>
      </w:r>
      <w:r w:rsidRPr="008814D3">
        <w:rPr>
          <w:rFonts w:ascii="Calibri" w:hAnsi="Calibri" w:cs="Calibri"/>
          <w:szCs w:val="22"/>
        </w:rPr>
        <w:t xml:space="preserve"> (p.</w:t>
      </w:r>
      <w:r w:rsidR="00581FE7" w:rsidRPr="008814D3">
        <w:rPr>
          <w:rFonts w:ascii="Calibri" w:hAnsi="Calibri" w:cs="Calibri"/>
          <w:szCs w:val="22"/>
        </w:rPr>
        <w:t xml:space="preserve"> </w:t>
      </w:r>
      <w:r w:rsidRPr="008814D3">
        <w:rPr>
          <w:rFonts w:ascii="Calibri" w:hAnsi="Calibri" w:cs="Calibri"/>
          <w:szCs w:val="22"/>
        </w:rPr>
        <w:t xml:space="preserve">313). Arnold had at this point nearly 27 years’ experience of visiting elementary schools across England on a near daily basis: he deplored </w:t>
      </w:r>
      <w:r w:rsidR="005F3FE2" w:rsidRPr="008814D3">
        <w:rPr>
          <w:rFonts w:ascii="Calibri" w:hAnsi="Calibri" w:cs="Calibri"/>
          <w:szCs w:val="22"/>
        </w:rPr>
        <w:t>‘</w:t>
      </w:r>
      <w:r w:rsidRPr="008814D3">
        <w:rPr>
          <w:rFonts w:ascii="Calibri" w:hAnsi="Calibri" w:cs="Calibri"/>
          <w:szCs w:val="22"/>
        </w:rPr>
        <w:t>the wall of partition</w:t>
      </w:r>
      <w:r w:rsidR="005F3FE2" w:rsidRPr="008814D3">
        <w:rPr>
          <w:rFonts w:ascii="Calibri" w:hAnsi="Calibri" w:cs="Calibri"/>
          <w:szCs w:val="22"/>
        </w:rPr>
        <w:t>’</w:t>
      </w:r>
      <w:r w:rsidRPr="008814D3">
        <w:rPr>
          <w:rFonts w:ascii="Calibri" w:hAnsi="Calibri" w:cs="Calibri"/>
          <w:szCs w:val="22"/>
        </w:rPr>
        <w:t xml:space="preserve"> between the middle classes and the working classes: </w:t>
      </w:r>
      <w:r w:rsidR="005F3FE2" w:rsidRPr="008814D3">
        <w:rPr>
          <w:rFonts w:ascii="Calibri" w:hAnsi="Calibri" w:cs="Calibri"/>
          <w:szCs w:val="22"/>
        </w:rPr>
        <w:t>‘</w:t>
      </w:r>
      <w:r w:rsidRPr="008814D3">
        <w:rPr>
          <w:rFonts w:ascii="Calibri" w:hAnsi="Calibri" w:cs="Calibri"/>
          <w:szCs w:val="22"/>
        </w:rPr>
        <w:t>they seem to belong to two different worlds</w:t>
      </w:r>
      <w:r w:rsidR="005F3FE2" w:rsidRPr="008814D3">
        <w:rPr>
          <w:rFonts w:ascii="Calibri" w:hAnsi="Calibri" w:cs="Calibri"/>
          <w:szCs w:val="22"/>
        </w:rPr>
        <w:t>’</w:t>
      </w:r>
      <w:r w:rsidRPr="008814D3">
        <w:rPr>
          <w:rFonts w:ascii="Calibri" w:hAnsi="Calibri" w:cs="Calibri"/>
          <w:szCs w:val="22"/>
        </w:rPr>
        <w:t xml:space="preserve"> (p.</w:t>
      </w:r>
      <w:r w:rsidR="00B04FDA">
        <w:rPr>
          <w:rFonts w:ascii="Calibri" w:hAnsi="Calibri" w:cs="Calibri"/>
          <w:szCs w:val="22"/>
        </w:rPr>
        <w:t xml:space="preserve"> </w:t>
      </w:r>
      <w:r w:rsidRPr="008814D3">
        <w:rPr>
          <w:rFonts w:ascii="Calibri" w:hAnsi="Calibri" w:cs="Calibri"/>
          <w:szCs w:val="22"/>
        </w:rPr>
        <w:t>323).</w:t>
      </w:r>
      <w:r w:rsidR="00CA0AEB">
        <w:rPr>
          <w:rFonts w:ascii="Calibri" w:hAnsi="Calibri" w:cs="Calibri"/>
          <w:szCs w:val="22"/>
        </w:rPr>
        <w:t xml:space="preserve"> </w:t>
      </w:r>
    </w:p>
    <w:p w14:paraId="6F7389C5" w14:textId="77777777" w:rsidR="005F3433" w:rsidRPr="008814D3" w:rsidRDefault="005F3433" w:rsidP="00E8255E">
      <w:pPr>
        <w:pStyle w:val="NormalWeb"/>
        <w:shd w:val="clear" w:color="auto" w:fill="FDFDFD"/>
        <w:spacing w:before="0" w:beforeAutospacing="0" w:after="0" w:afterAutospacing="0"/>
        <w:textAlignment w:val="baseline"/>
        <w:rPr>
          <w:rFonts w:ascii="Calibri" w:hAnsi="Calibri" w:cs="Calibri"/>
          <w:szCs w:val="22"/>
        </w:rPr>
      </w:pPr>
    </w:p>
    <w:p w14:paraId="3E794D51" w14:textId="6B41BDDA" w:rsidR="005F3433" w:rsidRPr="008814D3" w:rsidRDefault="005F3433" w:rsidP="00E8255E">
      <w:pPr>
        <w:shd w:val="clear" w:color="auto" w:fill="FFFFFF"/>
        <w:rPr>
          <w:rFonts w:ascii="Calibri" w:hAnsi="Calibri" w:cs="Calibri"/>
          <w:szCs w:val="22"/>
        </w:rPr>
      </w:pPr>
      <w:r w:rsidRPr="008814D3">
        <w:rPr>
          <w:rFonts w:ascii="Calibri" w:hAnsi="Calibri" w:cs="Calibri"/>
          <w:szCs w:val="22"/>
        </w:rPr>
        <w:t xml:space="preserve">A commonly used measure of </w:t>
      </w:r>
      <w:r w:rsidR="004E5F30">
        <w:rPr>
          <w:rFonts w:ascii="Calibri" w:hAnsi="Calibri" w:cs="Calibri"/>
          <w:szCs w:val="22"/>
        </w:rPr>
        <w:t xml:space="preserve">economic </w:t>
      </w:r>
      <w:r w:rsidRPr="008814D3">
        <w:rPr>
          <w:rFonts w:ascii="Calibri" w:hAnsi="Calibri" w:cs="Calibri"/>
          <w:szCs w:val="22"/>
        </w:rPr>
        <w:t>equality is the Gini coefficient (Gini, 1911, 1936), which measures the frequency distribution of a population on a scale from zero (perfect equality, all incomes are the same) to one (total inequality, one person has all the income).</w:t>
      </w:r>
      <w:r w:rsidR="00CA0AEB">
        <w:rPr>
          <w:rFonts w:ascii="Calibri" w:hAnsi="Calibri" w:cs="Calibri"/>
          <w:szCs w:val="22"/>
        </w:rPr>
        <w:t xml:space="preserve"> </w:t>
      </w:r>
      <w:r w:rsidRPr="008814D3">
        <w:rPr>
          <w:rFonts w:ascii="Calibri" w:hAnsi="Calibri" w:cs="Calibri"/>
          <w:szCs w:val="22"/>
        </w:rPr>
        <w:t>The Gini coefficient on disposable income (after taxation) can be used to show both changes in a country over time, and comparisons of the relative distribution between countries (ignoring actual differences of overall or average incomes in each country).</w:t>
      </w:r>
      <w:r w:rsidR="00CA0AEB">
        <w:rPr>
          <w:rFonts w:ascii="Calibri" w:hAnsi="Calibri" w:cs="Calibri"/>
          <w:szCs w:val="22"/>
        </w:rPr>
        <w:t xml:space="preserve"> </w:t>
      </w:r>
      <w:r w:rsidRPr="008814D3">
        <w:rPr>
          <w:rFonts w:ascii="Calibri" w:hAnsi="Calibri" w:cs="Calibri"/>
          <w:szCs w:val="22"/>
        </w:rPr>
        <w:t>Most European countries ha</w:t>
      </w:r>
      <w:r w:rsidR="00E31C08">
        <w:rPr>
          <w:rFonts w:ascii="Calibri" w:hAnsi="Calibri" w:cs="Calibri"/>
          <w:szCs w:val="22"/>
        </w:rPr>
        <w:t>d</w:t>
      </w:r>
      <w:r w:rsidRPr="008814D3">
        <w:rPr>
          <w:rFonts w:ascii="Calibri" w:hAnsi="Calibri" w:cs="Calibri"/>
          <w:szCs w:val="22"/>
        </w:rPr>
        <w:t xml:space="preserve"> a Gini index of between 0.25 and 0.35 in the 2010s (</w:t>
      </w:r>
      <w:r w:rsidRPr="00B04FDA">
        <w:rPr>
          <w:rFonts w:ascii="Calibri" w:hAnsi="Calibri" w:cs="Calibri"/>
          <w:szCs w:val="22"/>
        </w:rPr>
        <w:t>Balestra and Tonkin</w:t>
      </w:r>
      <w:r w:rsidRPr="008814D3">
        <w:rPr>
          <w:rFonts w:cstheme="minorHAnsi"/>
          <w:sz w:val="20"/>
          <w:szCs w:val="20"/>
        </w:rPr>
        <w:t xml:space="preserve">, </w:t>
      </w:r>
      <w:r w:rsidRPr="008814D3">
        <w:rPr>
          <w:rFonts w:ascii="Calibri" w:hAnsi="Calibri" w:cs="Calibri"/>
          <w:szCs w:val="22"/>
        </w:rPr>
        <w:t>2018), and these have shown slight rises in inequalities over the past 50 years (for example, Germany rose from 0.25 to 0.29; Italy rose from 0.30 to 0.34; Sweden rose from 0.21 to 0.26 and the Netherlands from 0.26 to 0.29)</w:t>
      </w:r>
      <w:r w:rsidR="007E6A47">
        <w:rPr>
          <w:rFonts w:ascii="Calibri" w:hAnsi="Calibri" w:cs="Calibri"/>
          <w:szCs w:val="22"/>
        </w:rPr>
        <w:t>; in</w:t>
      </w:r>
      <w:r w:rsidRPr="008814D3">
        <w:rPr>
          <w:rFonts w:ascii="Calibri" w:hAnsi="Calibri" w:cs="Calibri"/>
          <w:szCs w:val="22"/>
        </w:rPr>
        <w:t xml:space="preserve"> contrast, in the UK the index has risen more rapidly from 0.24 in the mid-70s to 0.35 in 2010 (thus a growing inequality).</w:t>
      </w:r>
      <w:r w:rsidR="00CA0AEB">
        <w:rPr>
          <w:rFonts w:ascii="Calibri" w:hAnsi="Calibri" w:cs="Calibri"/>
          <w:szCs w:val="22"/>
        </w:rPr>
        <w:t xml:space="preserve"> </w:t>
      </w:r>
      <w:r w:rsidRPr="008814D3">
        <w:rPr>
          <w:rFonts w:ascii="Calibri" w:hAnsi="Calibri" w:cs="Calibri"/>
          <w:szCs w:val="22"/>
        </w:rPr>
        <w:t xml:space="preserve">Another measure of inequality is the share of wealth or of post-tax income between each tenth of the population: Table 1.1 shows the changes </w:t>
      </w:r>
      <w:r w:rsidR="00EE4001">
        <w:rPr>
          <w:rFonts w:ascii="Calibri" w:hAnsi="Calibri" w:cs="Calibri"/>
          <w:szCs w:val="22"/>
        </w:rPr>
        <w:t xml:space="preserve">in income distribution </w:t>
      </w:r>
      <w:r w:rsidRPr="008814D3">
        <w:rPr>
          <w:rFonts w:ascii="Calibri" w:hAnsi="Calibri" w:cs="Calibri"/>
          <w:szCs w:val="22"/>
        </w:rPr>
        <w:t>between 1979 and 2015/6 and the even greater disparities in the distribution of wealth in 2012</w:t>
      </w:r>
      <w:r w:rsidR="007E6A47" w:rsidRPr="008814D3">
        <w:rPr>
          <w:rFonts w:ascii="Calibri" w:hAnsi="Calibri" w:cs="Calibri"/>
          <w:szCs w:val="22"/>
        </w:rPr>
        <w:t>–</w:t>
      </w:r>
      <w:r w:rsidR="007E6A47">
        <w:rPr>
          <w:rFonts w:ascii="Calibri" w:hAnsi="Calibri" w:cs="Calibri"/>
          <w:szCs w:val="22"/>
        </w:rPr>
        <w:t>20</w:t>
      </w:r>
      <w:r w:rsidRPr="008814D3">
        <w:rPr>
          <w:rFonts w:ascii="Calibri" w:hAnsi="Calibri" w:cs="Calibri"/>
          <w:szCs w:val="22"/>
        </w:rPr>
        <w:t>14 by deciles.</w:t>
      </w:r>
    </w:p>
    <w:p w14:paraId="4E97F4EA" w14:textId="2F07341D" w:rsidR="005F3433" w:rsidRPr="008814D3" w:rsidRDefault="005F3433" w:rsidP="005F3433">
      <w:pPr>
        <w:pStyle w:val="NormalWeb"/>
        <w:shd w:val="clear" w:color="auto" w:fill="FDFDFD"/>
        <w:spacing w:before="0" w:beforeAutospacing="0" w:after="0" w:afterAutospacing="0"/>
        <w:textAlignment w:val="baseline"/>
        <w:rPr>
          <w:rFonts w:ascii="Calibri" w:hAnsi="Calibri" w:cs="Calibri"/>
          <w:szCs w:val="22"/>
        </w:rPr>
      </w:pPr>
    </w:p>
    <w:p w14:paraId="1C5A561A" w14:textId="46833FA5" w:rsidR="00882D17" w:rsidRDefault="005F3433" w:rsidP="005F3433">
      <w:pPr>
        <w:pStyle w:val="NormalWeb"/>
        <w:shd w:val="clear" w:color="auto" w:fill="FDFDFD"/>
        <w:spacing w:before="0" w:beforeAutospacing="0" w:after="0" w:afterAutospacing="0"/>
        <w:textAlignment w:val="baseline"/>
        <w:rPr>
          <w:rFonts w:ascii="Calibri" w:hAnsi="Calibri" w:cs="Calibri"/>
          <w:szCs w:val="22"/>
        </w:rPr>
      </w:pPr>
      <w:r w:rsidRPr="008814D3">
        <w:rPr>
          <w:rFonts w:ascii="Calibri" w:hAnsi="Calibri" w:cs="Calibri"/>
          <w:szCs w:val="22"/>
        </w:rPr>
        <w:t xml:space="preserve">John Rawls addressed issues such as these in </w:t>
      </w:r>
      <w:r w:rsidRPr="008814D3">
        <w:rPr>
          <w:rFonts w:ascii="Calibri" w:hAnsi="Calibri" w:cs="Calibri"/>
          <w:i/>
          <w:szCs w:val="22"/>
        </w:rPr>
        <w:t>A Theory of Justice</w:t>
      </w:r>
      <w:r w:rsidRPr="008814D3">
        <w:rPr>
          <w:rFonts w:ascii="Calibri" w:hAnsi="Calibri" w:cs="Calibri"/>
          <w:szCs w:val="22"/>
        </w:rPr>
        <w:t xml:space="preserve"> (1971).</w:t>
      </w:r>
      <w:r w:rsidR="00CA0AEB">
        <w:rPr>
          <w:rFonts w:ascii="Calibri" w:hAnsi="Calibri" w:cs="Calibri"/>
          <w:szCs w:val="22"/>
        </w:rPr>
        <w:t xml:space="preserve"> </w:t>
      </w:r>
      <w:r w:rsidRPr="008814D3">
        <w:rPr>
          <w:rFonts w:ascii="Calibri" w:hAnsi="Calibri" w:cs="Calibri"/>
          <w:szCs w:val="22"/>
        </w:rPr>
        <w:t xml:space="preserve">He argued that the rules of distribution within a group would be fair if a person agreed to be bound by those rules, even when s/he was unaware of how those rules affected them </w:t>
      </w:r>
      <w:r w:rsidR="007A7C27" w:rsidRPr="008814D3">
        <w:rPr>
          <w:rFonts w:ascii="Calibri" w:hAnsi="Calibri" w:cs="Calibri"/>
          <w:szCs w:val="22"/>
        </w:rPr>
        <w:t>–</w:t>
      </w:r>
      <w:r w:rsidRPr="008814D3">
        <w:rPr>
          <w:rFonts w:ascii="Calibri" w:hAnsi="Calibri" w:cs="Calibri"/>
          <w:szCs w:val="22"/>
        </w:rPr>
        <w:t xml:space="preserve"> whether by adding to their personal share, or lessening it.</w:t>
      </w:r>
      <w:r w:rsidR="00CA0AEB">
        <w:rPr>
          <w:rFonts w:ascii="Calibri" w:hAnsi="Calibri" w:cs="Calibri"/>
          <w:szCs w:val="22"/>
        </w:rPr>
        <w:t xml:space="preserve"> </w:t>
      </w:r>
      <w:r w:rsidRPr="008814D3">
        <w:rPr>
          <w:rFonts w:ascii="Calibri" w:hAnsi="Calibri" w:cs="Calibri"/>
          <w:szCs w:val="22"/>
        </w:rPr>
        <w:t>Rawls thus combines egalitarianism with a form of mutual moderating liberalism: his innovation counters the way that utilitarian models of equality subordinate individual claims to the overriding demand for the general public good. Inequalities were only permissible to Rawls if they left everybody better off. From this he concluded that</w:t>
      </w:r>
      <w:r w:rsidR="00882D17">
        <w:rPr>
          <w:rFonts w:ascii="Calibri" w:hAnsi="Calibri" w:cs="Calibri"/>
          <w:szCs w:val="22"/>
        </w:rPr>
        <w:t>:</w:t>
      </w:r>
    </w:p>
    <w:p w14:paraId="19F3FE25" w14:textId="6D70D2F8" w:rsidR="005F3433" w:rsidRPr="008814D3" w:rsidRDefault="005F3433" w:rsidP="005F3433">
      <w:pPr>
        <w:pStyle w:val="NormalWeb"/>
        <w:shd w:val="clear" w:color="auto" w:fill="FDFDFD"/>
        <w:spacing w:before="0" w:beforeAutospacing="0" w:after="0" w:afterAutospacing="0"/>
        <w:textAlignment w:val="baseline"/>
        <w:rPr>
          <w:rFonts w:ascii="Calibri" w:hAnsi="Calibri" w:cs="Calibri"/>
          <w:szCs w:val="22"/>
        </w:rPr>
      </w:pPr>
      <w:r w:rsidRPr="008814D3">
        <w:rPr>
          <w:rFonts w:ascii="Calibri" w:hAnsi="Calibri" w:cs="Calibri"/>
          <w:szCs w:val="22"/>
        </w:rPr>
        <w:t xml:space="preserve"> </w:t>
      </w:r>
    </w:p>
    <w:p w14:paraId="40698B70" w14:textId="6B81A178" w:rsidR="005F3433" w:rsidRPr="008814D3" w:rsidRDefault="005F3433" w:rsidP="005F3433">
      <w:pPr>
        <w:pStyle w:val="NormalWeb"/>
        <w:shd w:val="clear" w:color="auto" w:fill="FDFDFD"/>
        <w:spacing w:before="0" w:beforeAutospacing="0" w:after="0" w:afterAutospacing="0"/>
        <w:ind w:left="720"/>
        <w:textAlignment w:val="baseline"/>
        <w:rPr>
          <w:rFonts w:ascii="Calibri" w:hAnsi="Calibri" w:cs="Calibri"/>
          <w:szCs w:val="22"/>
        </w:rPr>
      </w:pPr>
      <w:r w:rsidRPr="008814D3">
        <w:rPr>
          <w:rFonts w:ascii="Calibri" w:hAnsi="Calibri" w:cs="Calibri"/>
          <w:szCs w:val="22"/>
        </w:rPr>
        <w:t>…</w:t>
      </w:r>
      <w:r w:rsidR="00CA0AEB">
        <w:rPr>
          <w:rFonts w:ascii="Calibri" w:hAnsi="Calibri" w:cs="Calibri"/>
          <w:szCs w:val="22"/>
        </w:rPr>
        <w:t xml:space="preserve"> </w:t>
      </w:r>
      <w:r w:rsidRPr="008814D3">
        <w:rPr>
          <w:rFonts w:ascii="Calibri" w:hAnsi="Calibri" w:cs="Calibri"/>
          <w:szCs w:val="22"/>
        </w:rPr>
        <w:t xml:space="preserve">resources for education are not to be allocated solely or necessarily mainly according to their return as estimated in productive trained abilities, but also according to their worth in </w:t>
      </w:r>
      <w:r w:rsidRPr="008814D3">
        <w:rPr>
          <w:rFonts w:ascii="Calibri" w:hAnsi="Calibri" w:cs="Calibri"/>
          <w:szCs w:val="22"/>
        </w:rPr>
        <w:lastRenderedPageBreak/>
        <w:t xml:space="preserve">enriching the personal and social life of citizens, </w:t>
      </w:r>
      <w:r w:rsidRPr="008814D3">
        <w:rPr>
          <w:rFonts w:ascii="Calibri" w:hAnsi="Calibri" w:cs="Calibri"/>
          <w:i/>
          <w:szCs w:val="22"/>
        </w:rPr>
        <w:t>including here the less favoured</w:t>
      </w:r>
      <w:r w:rsidR="00FF1631" w:rsidRPr="008814D3">
        <w:rPr>
          <w:rFonts w:ascii="Calibri" w:hAnsi="Calibri" w:cs="Calibri"/>
          <w:i/>
          <w:szCs w:val="22"/>
        </w:rPr>
        <w:t>.</w:t>
      </w:r>
      <w:r w:rsidRPr="008814D3">
        <w:rPr>
          <w:rFonts w:ascii="Calibri" w:hAnsi="Calibri" w:cs="Calibri"/>
          <w:szCs w:val="22"/>
        </w:rPr>
        <w:t xml:space="preserve"> (Rawls, 1971, p.</w:t>
      </w:r>
      <w:r w:rsidR="00882D17">
        <w:rPr>
          <w:rFonts w:ascii="Calibri" w:hAnsi="Calibri" w:cs="Calibri"/>
          <w:szCs w:val="22"/>
        </w:rPr>
        <w:t xml:space="preserve"> </w:t>
      </w:r>
      <w:r w:rsidRPr="008814D3">
        <w:rPr>
          <w:rFonts w:ascii="Calibri" w:hAnsi="Calibri" w:cs="Calibri"/>
          <w:szCs w:val="22"/>
        </w:rPr>
        <w:t>107; emphasis added)</w:t>
      </w:r>
    </w:p>
    <w:p w14:paraId="568CAA32" w14:textId="77777777" w:rsidR="005725D9" w:rsidRDefault="005725D9">
      <w:pPr>
        <w:rPr>
          <w:rFonts w:eastAsiaTheme="majorEastAsia" w:cstheme="majorBidi"/>
          <w:b/>
          <w:szCs w:val="26"/>
        </w:rPr>
      </w:pPr>
      <w:r>
        <w:br w:type="page"/>
      </w:r>
    </w:p>
    <w:p w14:paraId="60AFE57B" w14:textId="72D7A974" w:rsidR="005725D9" w:rsidRDefault="005725D9" w:rsidP="005725D9">
      <w:pPr>
        <w:pStyle w:val="Heading2"/>
      </w:pPr>
      <w:r>
        <w:lastRenderedPageBreak/>
        <w:t>Table 1.1: Distribution of post-tax income 1979 and 2015/6, and wealth 2012-14, United Kingdom</w:t>
      </w:r>
    </w:p>
    <w:p w14:paraId="57037A6C" w14:textId="77777777" w:rsidR="005725D9" w:rsidRDefault="005725D9" w:rsidP="005725D9">
      <w:pPr>
        <w:pStyle w:val="NormalWeb"/>
        <w:shd w:val="clear" w:color="auto" w:fill="FDFDFD"/>
        <w:spacing w:before="0" w:beforeAutospacing="0" w:after="0" w:afterAutospacing="0"/>
        <w:textAlignment w:val="baseline"/>
        <w:rPr>
          <w:rFonts w:ascii="Calibri" w:hAnsi="Calibri" w:cs="Calibri"/>
          <w:szCs w:val="22"/>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1516"/>
        <w:gridCol w:w="341"/>
        <w:gridCol w:w="662"/>
        <w:gridCol w:w="1004"/>
        <w:gridCol w:w="341"/>
        <w:gridCol w:w="1210"/>
        <w:gridCol w:w="29"/>
      </w:tblGrid>
      <w:tr w:rsidR="005725D9" w14:paraId="63598786" w14:textId="77777777" w:rsidTr="005725D9">
        <w:tc>
          <w:tcPr>
            <w:tcW w:w="1516" w:type="dxa"/>
            <w:tcBorders>
              <w:top w:val="single" w:sz="4" w:space="0" w:color="auto"/>
              <w:left w:val="nil"/>
              <w:bottom w:val="single" w:sz="4" w:space="0" w:color="auto"/>
              <w:right w:val="nil"/>
            </w:tcBorders>
          </w:tcPr>
          <w:p w14:paraId="3B7C59CD"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341" w:type="dxa"/>
            <w:tcBorders>
              <w:top w:val="single" w:sz="4" w:space="0" w:color="auto"/>
              <w:left w:val="nil"/>
              <w:bottom w:val="single" w:sz="4" w:space="0" w:color="auto"/>
              <w:right w:val="nil"/>
            </w:tcBorders>
            <w:hideMark/>
          </w:tcPr>
          <w:p w14:paraId="2C8DDBC6"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 xml:space="preserve"> </w:t>
            </w:r>
          </w:p>
        </w:tc>
        <w:tc>
          <w:tcPr>
            <w:tcW w:w="3246" w:type="dxa"/>
            <w:gridSpan w:val="5"/>
            <w:tcBorders>
              <w:top w:val="single" w:sz="4" w:space="0" w:color="auto"/>
              <w:left w:val="nil"/>
              <w:bottom w:val="single" w:sz="4" w:space="0" w:color="auto"/>
              <w:right w:val="nil"/>
            </w:tcBorders>
            <w:hideMark/>
          </w:tcPr>
          <w:p w14:paraId="59350DA6"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 xml:space="preserve"> Income Wealth</w:t>
            </w:r>
          </w:p>
        </w:tc>
      </w:tr>
      <w:tr w:rsidR="005725D9" w14:paraId="24AED113" w14:textId="77777777" w:rsidTr="005725D9">
        <w:trPr>
          <w:gridAfter w:val="1"/>
          <w:wAfter w:w="29" w:type="dxa"/>
        </w:trPr>
        <w:tc>
          <w:tcPr>
            <w:tcW w:w="1516" w:type="dxa"/>
            <w:tcBorders>
              <w:top w:val="single" w:sz="4" w:space="0" w:color="auto"/>
              <w:left w:val="nil"/>
              <w:bottom w:val="single" w:sz="4" w:space="0" w:color="auto"/>
              <w:right w:val="nil"/>
            </w:tcBorders>
          </w:tcPr>
          <w:p w14:paraId="7CB100EF"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003" w:type="dxa"/>
            <w:gridSpan w:val="2"/>
            <w:tcBorders>
              <w:top w:val="single" w:sz="4" w:space="0" w:color="auto"/>
              <w:left w:val="nil"/>
              <w:bottom w:val="single" w:sz="4" w:space="0" w:color="auto"/>
              <w:right w:val="nil"/>
            </w:tcBorders>
            <w:hideMark/>
          </w:tcPr>
          <w:p w14:paraId="2D7DC830"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1979</w:t>
            </w:r>
          </w:p>
        </w:tc>
        <w:tc>
          <w:tcPr>
            <w:tcW w:w="1004" w:type="dxa"/>
            <w:tcBorders>
              <w:top w:val="single" w:sz="4" w:space="0" w:color="auto"/>
              <w:left w:val="nil"/>
              <w:bottom w:val="single" w:sz="4" w:space="0" w:color="auto"/>
              <w:right w:val="nil"/>
            </w:tcBorders>
            <w:hideMark/>
          </w:tcPr>
          <w:p w14:paraId="4D759A8D"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2015/16</w:t>
            </w:r>
          </w:p>
        </w:tc>
        <w:tc>
          <w:tcPr>
            <w:tcW w:w="341" w:type="dxa"/>
            <w:tcBorders>
              <w:top w:val="nil"/>
              <w:left w:val="nil"/>
              <w:bottom w:val="nil"/>
              <w:right w:val="nil"/>
            </w:tcBorders>
          </w:tcPr>
          <w:p w14:paraId="33B6E725"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single" w:sz="4" w:space="0" w:color="auto"/>
              <w:left w:val="nil"/>
              <w:bottom w:val="single" w:sz="4" w:space="0" w:color="auto"/>
              <w:right w:val="nil"/>
            </w:tcBorders>
            <w:hideMark/>
          </w:tcPr>
          <w:p w14:paraId="0ACE3AB4"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2014/16</w:t>
            </w:r>
          </w:p>
        </w:tc>
      </w:tr>
      <w:tr w:rsidR="005725D9" w14:paraId="22063134" w14:textId="77777777" w:rsidTr="005725D9">
        <w:trPr>
          <w:gridAfter w:val="1"/>
          <w:wAfter w:w="29" w:type="dxa"/>
        </w:trPr>
        <w:tc>
          <w:tcPr>
            <w:tcW w:w="1516" w:type="dxa"/>
            <w:tcBorders>
              <w:top w:val="single" w:sz="4" w:space="0" w:color="auto"/>
              <w:left w:val="nil"/>
              <w:bottom w:val="nil"/>
              <w:right w:val="nil"/>
            </w:tcBorders>
            <w:hideMark/>
          </w:tcPr>
          <w:p w14:paraId="61979CE4"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Top 10%</w:t>
            </w:r>
          </w:p>
        </w:tc>
        <w:tc>
          <w:tcPr>
            <w:tcW w:w="1003" w:type="dxa"/>
            <w:gridSpan w:val="2"/>
            <w:tcBorders>
              <w:top w:val="single" w:sz="4" w:space="0" w:color="auto"/>
              <w:left w:val="nil"/>
              <w:bottom w:val="nil"/>
              <w:right w:val="nil"/>
            </w:tcBorders>
            <w:hideMark/>
          </w:tcPr>
          <w:p w14:paraId="106AD29D"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21</w:t>
            </w:r>
          </w:p>
        </w:tc>
        <w:tc>
          <w:tcPr>
            <w:tcW w:w="1004" w:type="dxa"/>
            <w:tcBorders>
              <w:top w:val="single" w:sz="4" w:space="0" w:color="auto"/>
              <w:left w:val="nil"/>
              <w:bottom w:val="nil"/>
              <w:right w:val="nil"/>
            </w:tcBorders>
            <w:vAlign w:val="bottom"/>
            <w:hideMark/>
          </w:tcPr>
          <w:p w14:paraId="6D1E8735"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23.0</w:t>
            </w:r>
          </w:p>
        </w:tc>
        <w:tc>
          <w:tcPr>
            <w:tcW w:w="341" w:type="dxa"/>
            <w:tcBorders>
              <w:top w:val="nil"/>
              <w:left w:val="nil"/>
              <w:bottom w:val="nil"/>
              <w:right w:val="nil"/>
            </w:tcBorders>
          </w:tcPr>
          <w:p w14:paraId="4735E29B"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single" w:sz="4" w:space="0" w:color="auto"/>
              <w:left w:val="nil"/>
              <w:bottom w:val="nil"/>
              <w:right w:val="nil"/>
            </w:tcBorders>
            <w:hideMark/>
          </w:tcPr>
          <w:p w14:paraId="794332F1"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40</w:t>
            </w:r>
          </w:p>
        </w:tc>
      </w:tr>
      <w:tr w:rsidR="005725D9" w14:paraId="0568716B" w14:textId="77777777" w:rsidTr="005725D9">
        <w:trPr>
          <w:gridAfter w:val="1"/>
          <w:wAfter w:w="29" w:type="dxa"/>
        </w:trPr>
        <w:tc>
          <w:tcPr>
            <w:tcW w:w="1516" w:type="dxa"/>
            <w:tcBorders>
              <w:top w:val="nil"/>
              <w:left w:val="nil"/>
              <w:bottom w:val="nil"/>
              <w:right w:val="nil"/>
            </w:tcBorders>
            <w:hideMark/>
          </w:tcPr>
          <w:p w14:paraId="629A4FDC"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Second 10%</w:t>
            </w:r>
          </w:p>
        </w:tc>
        <w:tc>
          <w:tcPr>
            <w:tcW w:w="1003" w:type="dxa"/>
            <w:gridSpan w:val="2"/>
            <w:tcBorders>
              <w:top w:val="nil"/>
              <w:left w:val="nil"/>
              <w:bottom w:val="nil"/>
              <w:right w:val="nil"/>
            </w:tcBorders>
            <w:hideMark/>
          </w:tcPr>
          <w:p w14:paraId="54F69F0F"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14</w:t>
            </w:r>
          </w:p>
        </w:tc>
        <w:tc>
          <w:tcPr>
            <w:tcW w:w="1004" w:type="dxa"/>
            <w:tcBorders>
              <w:top w:val="nil"/>
              <w:left w:val="nil"/>
              <w:bottom w:val="nil"/>
              <w:right w:val="nil"/>
            </w:tcBorders>
            <w:vAlign w:val="bottom"/>
            <w:hideMark/>
          </w:tcPr>
          <w:p w14:paraId="1440F11F"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15.3</w:t>
            </w:r>
          </w:p>
        </w:tc>
        <w:tc>
          <w:tcPr>
            <w:tcW w:w="341" w:type="dxa"/>
            <w:tcBorders>
              <w:top w:val="nil"/>
              <w:left w:val="nil"/>
              <w:bottom w:val="nil"/>
              <w:right w:val="nil"/>
            </w:tcBorders>
          </w:tcPr>
          <w:p w14:paraId="1A6EF09B"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nil"/>
              <w:right w:val="nil"/>
            </w:tcBorders>
            <w:hideMark/>
          </w:tcPr>
          <w:p w14:paraId="2D112295"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20.5</w:t>
            </w:r>
          </w:p>
        </w:tc>
      </w:tr>
      <w:tr w:rsidR="005725D9" w14:paraId="2DF9A0B7" w14:textId="77777777" w:rsidTr="005725D9">
        <w:trPr>
          <w:gridAfter w:val="1"/>
          <w:wAfter w:w="29" w:type="dxa"/>
        </w:trPr>
        <w:tc>
          <w:tcPr>
            <w:tcW w:w="1516" w:type="dxa"/>
            <w:tcBorders>
              <w:top w:val="nil"/>
              <w:left w:val="nil"/>
              <w:bottom w:val="nil"/>
              <w:right w:val="nil"/>
            </w:tcBorders>
            <w:hideMark/>
          </w:tcPr>
          <w:p w14:paraId="12D3CDB2"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Third 10%</w:t>
            </w:r>
          </w:p>
        </w:tc>
        <w:tc>
          <w:tcPr>
            <w:tcW w:w="1003" w:type="dxa"/>
            <w:gridSpan w:val="2"/>
            <w:tcBorders>
              <w:top w:val="nil"/>
              <w:left w:val="nil"/>
              <w:bottom w:val="nil"/>
              <w:right w:val="nil"/>
            </w:tcBorders>
            <w:hideMark/>
          </w:tcPr>
          <w:p w14:paraId="6286E580"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12</w:t>
            </w:r>
          </w:p>
        </w:tc>
        <w:tc>
          <w:tcPr>
            <w:tcW w:w="1004" w:type="dxa"/>
            <w:tcBorders>
              <w:top w:val="nil"/>
              <w:left w:val="nil"/>
              <w:bottom w:val="nil"/>
              <w:right w:val="nil"/>
            </w:tcBorders>
            <w:vAlign w:val="bottom"/>
            <w:hideMark/>
          </w:tcPr>
          <w:p w14:paraId="6C1F5669"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12.3</w:t>
            </w:r>
          </w:p>
        </w:tc>
        <w:tc>
          <w:tcPr>
            <w:tcW w:w="341" w:type="dxa"/>
            <w:tcBorders>
              <w:top w:val="nil"/>
              <w:left w:val="nil"/>
              <w:bottom w:val="nil"/>
              <w:right w:val="nil"/>
            </w:tcBorders>
          </w:tcPr>
          <w:p w14:paraId="0942DE1A"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nil"/>
              <w:right w:val="nil"/>
            </w:tcBorders>
            <w:hideMark/>
          </w:tcPr>
          <w:p w14:paraId="654F4AE8"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13.5</w:t>
            </w:r>
          </w:p>
        </w:tc>
      </w:tr>
      <w:tr w:rsidR="005725D9" w14:paraId="49A73E76" w14:textId="77777777" w:rsidTr="005725D9">
        <w:trPr>
          <w:gridAfter w:val="1"/>
          <w:wAfter w:w="29" w:type="dxa"/>
        </w:trPr>
        <w:tc>
          <w:tcPr>
            <w:tcW w:w="1516" w:type="dxa"/>
            <w:tcBorders>
              <w:top w:val="nil"/>
              <w:left w:val="nil"/>
              <w:bottom w:val="nil"/>
              <w:right w:val="nil"/>
            </w:tcBorders>
            <w:hideMark/>
          </w:tcPr>
          <w:p w14:paraId="5C975EAD"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Fourth 10%</w:t>
            </w:r>
          </w:p>
        </w:tc>
        <w:tc>
          <w:tcPr>
            <w:tcW w:w="1003" w:type="dxa"/>
            <w:gridSpan w:val="2"/>
            <w:tcBorders>
              <w:top w:val="nil"/>
              <w:left w:val="nil"/>
              <w:bottom w:val="nil"/>
              <w:right w:val="nil"/>
            </w:tcBorders>
            <w:hideMark/>
          </w:tcPr>
          <w:p w14:paraId="3617F6A7"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11</w:t>
            </w:r>
          </w:p>
        </w:tc>
        <w:tc>
          <w:tcPr>
            <w:tcW w:w="1004" w:type="dxa"/>
            <w:tcBorders>
              <w:top w:val="nil"/>
              <w:left w:val="nil"/>
              <w:bottom w:val="nil"/>
              <w:right w:val="nil"/>
            </w:tcBorders>
            <w:vAlign w:val="bottom"/>
            <w:hideMark/>
          </w:tcPr>
          <w:p w14:paraId="505E3C69"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10.3</w:t>
            </w:r>
          </w:p>
        </w:tc>
        <w:tc>
          <w:tcPr>
            <w:tcW w:w="341" w:type="dxa"/>
            <w:tcBorders>
              <w:top w:val="nil"/>
              <w:left w:val="nil"/>
              <w:bottom w:val="nil"/>
              <w:right w:val="nil"/>
            </w:tcBorders>
          </w:tcPr>
          <w:p w14:paraId="4A405685"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nil"/>
              <w:right w:val="nil"/>
            </w:tcBorders>
            <w:hideMark/>
          </w:tcPr>
          <w:p w14:paraId="21440602"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9.5</w:t>
            </w:r>
          </w:p>
        </w:tc>
      </w:tr>
      <w:tr w:rsidR="005725D9" w14:paraId="784BACD6" w14:textId="77777777" w:rsidTr="005725D9">
        <w:trPr>
          <w:gridAfter w:val="1"/>
          <w:wAfter w:w="29" w:type="dxa"/>
        </w:trPr>
        <w:tc>
          <w:tcPr>
            <w:tcW w:w="1516" w:type="dxa"/>
            <w:tcBorders>
              <w:top w:val="nil"/>
              <w:left w:val="nil"/>
              <w:bottom w:val="nil"/>
              <w:right w:val="nil"/>
            </w:tcBorders>
            <w:hideMark/>
          </w:tcPr>
          <w:p w14:paraId="30141680"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Fifth 10%</w:t>
            </w:r>
          </w:p>
        </w:tc>
        <w:tc>
          <w:tcPr>
            <w:tcW w:w="1003" w:type="dxa"/>
            <w:gridSpan w:val="2"/>
            <w:tcBorders>
              <w:top w:val="nil"/>
              <w:left w:val="nil"/>
              <w:bottom w:val="nil"/>
              <w:right w:val="nil"/>
            </w:tcBorders>
            <w:hideMark/>
          </w:tcPr>
          <w:p w14:paraId="0DAFF9FB"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10</w:t>
            </w:r>
          </w:p>
        </w:tc>
        <w:tc>
          <w:tcPr>
            <w:tcW w:w="1004" w:type="dxa"/>
            <w:tcBorders>
              <w:top w:val="nil"/>
              <w:left w:val="nil"/>
              <w:bottom w:val="nil"/>
              <w:right w:val="nil"/>
            </w:tcBorders>
            <w:vAlign w:val="bottom"/>
            <w:hideMark/>
          </w:tcPr>
          <w:p w14:paraId="3315BE9E"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8.8</w:t>
            </w:r>
          </w:p>
        </w:tc>
        <w:tc>
          <w:tcPr>
            <w:tcW w:w="341" w:type="dxa"/>
            <w:tcBorders>
              <w:top w:val="nil"/>
              <w:left w:val="nil"/>
              <w:bottom w:val="nil"/>
              <w:right w:val="nil"/>
            </w:tcBorders>
          </w:tcPr>
          <w:p w14:paraId="643E8239"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nil"/>
              <w:right w:val="nil"/>
            </w:tcBorders>
            <w:hideMark/>
          </w:tcPr>
          <w:p w14:paraId="4D16A1D8"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7</w:t>
            </w:r>
          </w:p>
        </w:tc>
      </w:tr>
      <w:tr w:rsidR="005725D9" w14:paraId="470AF2E0" w14:textId="77777777" w:rsidTr="005725D9">
        <w:trPr>
          <w:gridAfter w:val="1"/>
          <w:wAfter w:w="29" w:type="dxa"/>
        </w:trPr>
        <w:tc>
          <w:tcPr>
            <w:tcW w:w="1516" w:type="dxa"/>
            <w:tcBorders>
              <w:top w:val="nil"/>
              <w:left w:val="nil"/>
              <w:bottom w:val="nil"/>
              <w:right w:val="nil"/>
            </w:tcBorders>
            <w:hideMark/>
          </w:tcPr>
          <w:p w14:paraId="0A3297FD"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Sixth 10%</w:t>
            </w:r>
          </w:p>
        </w:tc>
        <w:tc>
          <w:tcPr>
            <w:tcW w:w="1003" w:type="dxa"/>
            <w:gridSpan w:val="2"/>
            <w:tcBorders>
              <w:top w:val="nil"/>
              <w:left w:val="nil"/>
              <w:bottom w:val="nil"/>
              <w:right w:val="nil"/>
            </w:tcBorders>
            <w:hideMark/>
          </w:tcPr>
          <w:p w14:paraId="51FD7D55"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8</w:t>
            </w:r>
          </w:p>
        </w:tc>
        <w:tc>
          <w:tcPr>
            <w:tcW w:w="1004" w:type="dxa"/>
            <w:tcBorders>
              <w:top w:val="nil"/>
              <w:left w:val="nil"/>
              <w:bottom w:val="nil"/>
              <w:right w:val="nil"/>
            </w:tcBorders>
            <w:vAlign w:val="bottom"/>
            <w:hideMark/>
          </w:tcPr>
          <w:p w14:paraId="04BDF71B"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7.7</w:t>
            </w:r>
          </w:p>
        </w:tc>
        <w:tc>
          <w:tcPr>
            <w:tcW w:w="341" w:type="dxa"/>
            <w:tcBorders>
              <w:top w:val="nil"/>
              <w:left w:val="nil"/>
              <w:bottom w:val="nil"/>
              <w:right w:val="nil"/>
            </w:tcBorders>
          </w:tcPr>
          <w:p w14:paraId="06BD7664"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nil"/>
              <w:right w:val="nil"/>
            </w:tcBorders>
            <w:hideMark/>
          </w:tcPr>
          <w:p w14:paraId="2D739AEB"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4.5</w:t>
            </w:r>
          </w:p>
        </w:tc>
      </w:tr>
      <w:tr w:rsidR="005725D9" w14:paraId="71E496D8" w14:textId="77777777" w:rsidTr="005725D9">
        <w:trPr>
          <w:gridAfter w:val="1"/>
          <w:wAfter w:w="29" w:type="dxa"/>
        </w:trPr>
        <w:tc>
          <w:tcPr>
            <w:tcW w:w="1516" w:type="dxa"/>
            <w:tcBorders>
              <w:top w:val="nil"/>
              <w:left w:val="nil"/>
              <w:bottom w:val="nil"/>
              <w:right w:val="nil"/>
            </w:tcBorders>
            <w:hideMark/>
          </w:tcPr>
          <w:p w14:paraId="0A145C7C"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Seventh 10%</w:t>
            </w:r>
          </w:p>
        </w:tc>
        <w:tc>
          <w:tcPr>
            <w:tcW w:w="1003" w:type="dxa"/>
            <w:gridSpan w:val="2"/>
            <w:tcBorders>
              <w:top w:val="nil"/>
              <w:left w:val="nil"/>
              <w:bottom w:val="nil"/>
              <w:right w:val="nil"/>
            </w:tcBorders>
            <w:hideMark/>
          </w:tcPr>
          <w:p w14:paraId="4A2CC41B"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7</w:t>
            </w:r>
          </w:p>
        </w:tc>
        <w:tc>
          <w:tcPr>
            <w:tcW w:w="1004" w:type="dxa"/>
            <w:tcBorders>
              <w:top w:val="nil"/>
              <w:left w:val="nil"/>
              <w:bottom w:val="nil"/>
              <w:right w:val="nil"/>
            </w:tcBorders>
            <w:vAlign w:val="bottom"/>
            <w:hideMark/>
          </w:tcPr>
          <w:p w14:paraId="326C2F74"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6.8</w:t>
            </w:r>
          </w:p>
        </w:tc>
        <w:tc>
          <w:tcPr>
            <w:tcW w:w="341" w:type="dxa"/>
            <w:tcBorders>
              <w:top w:val="nil"/>
              <w:left w:val="nil"/>
              <w:bottom w:val="nil"/>
              <w:right w:val="nil"/>
            </w:tcBorders>
          </w:tcPr>
          <w:p w14:paraId="7B654157"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nil"/>
              <w:right w:val="nil"/>
            </w:tcBorders>
            <w:hideMark/>
          </w:tcPr>
          <w:p w14:paraId="76889C64"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3</w:t>
            </w:r>
          </w:p>
        </w:tc>
      </w:tr>
      <w:tr w:rsidR="005725D9" w14:paraId="5AA3F359" w14:textId="77777777" w:rsidTr="005725D9">
        <w:trPr>
          <w:gridAfter w:val="1"/>
          <w:wAfter w:w="29" w:type="dxa"/>
        </w:trPr>
        <w:tc>
          <w:tcPr>
            <w:tcW w:w="1516" w:type="dxa"/>
            <w:tcBorders>
              <w:top w:val="nil"/>
              <w:left w:val="nil"/>
              <w:bottom w:val="nil"/>
              <w:right w:val="nil"/>
            </w:tcBorders>
            <w:hideMark/>
          </w:tcPr>
          <w:p w14:paraId="697BD9AC"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Eighth 10%</w:t>
            </w:r>
          </w:p>
        </w:tc>
        <w:tc>
          <w:tcPr>
            <w:tcW w:w="1003" w:type="dxa"/>
            <w:gridSpan w:val="2"/>
            <w:tcBorders>
              <w:top w:val="nil"/>
              <w:left w:val="nil"/>
              <w:bottom w:val="nil"/>
              <w:right w:val="nil"/>
            </w:tcBorders>
            <w:hideMark/>
          </w:tcPr>
          <w:p w14:paraId="4F5A8967"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7</w:t>
            </w:r>
          </w:p>
        </w:tc>
        <w:tc>
          <w:tcPr>
            <w:tcW w:w="1004" w:type="dxa"/>
            <w:tcBorders>
              <w:top w:val="nil"/>
              <w:left w:val="nil"/>
              <w:bottom w:val="nil"/>
              <w:right w:val="nil"/>
            </w:tcBorders>
            <w:vAlign w:val="bottom"/>
            <w:hideMark/>
          </w:tcPr>
          <w:p w14:paraId="5F56202A"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6.0</w:t>
            </w:r>
          </w:p>
        </w:tc>
        <w:tc>
          <w:tcPr>
            <w:tcW w:w="341" w:type="dxa"/>
            <w:tcBorders>
              <w:top w:val="nil"/>
              <w:left w:val="nil"/>
              <w:bottom w:val="nil"/>
              <w:right w:val="nil"/>
            </w:tcBorders>
          </w:tcPr>
          <w:p w14:paraId="061CCCBE"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nil"/>
              <w:right w:val="nil"/>
            </w:tcBorders>
            <w:hideMark/>
          </w:tcPr>
          <w:p w14:paraId="19E75491"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1.5</w:t>
            </w:r>
          </w:p>
        </w:tc>
      </w:tr>
      <w:tr w:rsidR="005725D9" w14:paraId="4E246087" w14:textId="77777777" w:rsidTr="005725D9">
        <w:trPr>
          <w:gridAfter w:val="1"/>
          <w:wAfter w:w="29" w:type="dxa"/>
          <w:trHeight w:val="70"/>
        </w:trPr>
        <w:tc>
          <w:tcPr>
            <w:tcW w:w="1516" w:type="dxa"/>
            <w:tcBorders>
              <w:top w:val="nil"/>
              <w:left w:val="nil"/>
              <w:bottom w:val="nil"/>
              <w:right w:val="nil"/>
            </w:tcBorders>
            <w:hideMark/>
          </w:tcPr>
          <w:p w14:paraId="5EBB91C5"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Ninth 10%</w:t>
            </w:r>
          </w:p>
        </w:tc>
        <w:tc>
          <w:tcPr>
            <w:tcW w:w="1003" w:type="dxa"/>
            <w:gridSpan w:val="2"/>
            <w:tcBorders>
              <w:top w:val="nil"/>
              <w:left w:val="nil"/>
              <w:bottom w:val="nil"/>
              <w:right w:val="nil"/>
            </w:tcBorders>
            <w:hideMark/>
          </w:tcPr>
          <w:p w14:paraId="5CD416BE"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6</w:t>
            </w:r>
          </w:p>
        </w:tc>
        <w:tc>
          <w:tcPr>
            <w:tcW w:w="1004" w:type="dxa"/>
            <w:tcBorders>
              <w:top w:val="nil"/>
              <w:left w:val="nil"/>
              <w:bottom w:val="nil"/>
              <w:right w:val="nil"/>
            </w:tcBorders>
            <w:vAlign w:val="bottom"/>
            <w:hideMark/>
          </w:tcPr>
          <w:p w14:paraId="4F79719B"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5.3</w:t>
            </w:r>
          </w:p>
        </w:tc>
        <w:tc>
          <w:tcPr>
            <w:tcW w:w="341" w:type="dxa"/>
            <w:tcBorders>
              <w:top w:val="nil"/>
              <w:left w:val="nil"/>
              <w:bottom w:val="nil"/>
              <w:right w:val="nil"/>
            </w:tcBorders>
          </w:tcPr>
          <w:p w14:paraId="01082772"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nil"/>
              <w:right w:val="nil"/>
            </w:tcBorders>
            <w:hideMark/>
          </w:tcPr>
          <w:p w14:paraId="30DDF59D"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0.5</w:t>
            </w:r>
          </w:p>
        </w:tc>
      </w:tr>
      <w:tr w:rsidR="005725D9" w14:paraId="74D1C6CB" w14:textId="77777777" w:rsidTr="005725D9">
        <w:trPr>
          <w:gridAfter w:val="1"/>
          <w:wAfter w:w="29" w:type="dxa"/>
        </w:trPr>
        <w:tc>
          <w:tcPr>
            <w:tcW w:w="1516" w:type="dxa"/>
            <w:tcBorders>
              <w:top w:val="nil"/>
              <w:left w:val="nil"/>
              <w:bottom w:val="single" w:sz="4" w:space="0" w:color="auto"/>
              <w:right w:val="nil"/>
            </w:tcBorders>
            <w:hideMark/>
          </w:tcPr>
          <w:p w14:paraId="6497EDE0"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r>
              <w:rPr>
                <w:rFonts w:ascii="Calibri" w:hAnsi="Calibri" w:cs="Calibri"/>
                <w:szCs w:val="22"/>
                <w:lang w:eastAsia="en-US"/>
              </w:rPr>
              <w:t>Bottom 10%</w:t>
            </w:r>
          </w:p>
        </w:tc>
        <w:tc>
          <w:tcPr>
            <w:tcW w:w="1003" w:type="dxa"/>
            <w:gridSpan w:val="2"/>
            <w:tcBorders>
              <w:top w:val="nil"/>
              <w:left w:val="nil"/>
              <w:bottom w:val="single" w:sz="4" w:space="0" w:color="auto"/>
              <w:right w:val="nil"/>
            </w:tcBorders>
            <w:hideMark/>
          </w:tcPr>
          <w:p w14:paraId="338D8FD4"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4</w:t>
            </w:r>
          </w:p>
        </w:tc>
        <w:tc>
          <w:tcPr>
            <w:tcW w:w="1004" w:type="dxa"/>
            <w:tcBorders>
              <w:top w:val="nil"/>
              <w:left w:val="nil"/>
              <w:bottom w:val="single" w:sz="4" w:space="0" w:color="auto"/>
              <w:right w:val="nil"/>
            </w:tcBorders>
            <w:vAlign w:val="bottom"/>
            <w:hideMark/>
          </w:tcPr>
          <w:p w14:paraId="58D38F9B"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Arial" w:hAnsi="Arial" w:cs="Arial"/>
                <w:sz w:val="20"/>
                <w:szCs w:val="20"/>
                <w:lang w:eastAsia="en-US"/>
              </w:rPr>
              <w:t>4.6</w:t>
            </w:r>
          </w:p>
        </w:tc>
        <w:tc>
          <w:tcPr>
            <w:tcW w:w="341" w:type="dxa"/>
            <w:tcBorders>
              <w:top w:val="nil"/>
              <w:left w:val="nil"/>
              <w:bottom w:val="nil"/>
              <w:right w:val="nil"/>
            </w:tcBorders>
          </w:tcPr>
          <w:p w14:paraId="4739141C" w14:textId="77777777" w:rsidR="005725D9" w:rsidRDefault="005725D9">
            <w:pPr>
              <w:pStyle w:val="NormalWeb"/>
              <w:spacing w:before="0" w:beforeAutospacing="0" w:after="0" w:afterAutospacing="0" w:line="256" w:lineRule="auto"/>
              <w:textAlignment w:val="baseline"/>
              <w:rPr>
                <w:rFonts w:ascii="Calibri" w:hAnsi="Calibri" w:cs="Calibri"/>
                <w:szCs w:val="22"/>
                <w:lang w:eastAsia="en-US"/>
              </w:rPr>
            </w:pPr>
          </w:p>
        </w:tc>
        <w:tc>
          <w:tcPr>
            <w:tcW w:w="1210" w:type="dxa"/>
            <w:tcBorders>
              <w:top w:val="nil"/>
              <w:left w:val="nil"/>
              <w:bottom w:val="single" w:sz="4" w:space="0" w:color="auto"/>
              <w:right w:val="nil"/>
            </w:tcBorders>
            <w:hideMark/>
          </w:tcPr>
          <w:p w14:paraId="73C5581A" w14:textId="77777777" w:rsidR="005725D9" w:rsidRDefault="005725D9">
            <w:pPr>
              <w:pStyle w:val="NormalWeb"/>
              <w:spacing w:before="0" w:beforeAutospacing="0" w:after="0" w:afterAutospacing="0" w:line="256" w:lineRule="auto"/>
              <w:jc w:val="center"/>
              <w:textAlignment w:val="baseline"/>
              <w:rPr>
                <w:rFonts w:ascii="Calibri" w:hAnsi="Calibri" w:cs="Calibri"/>
                <w:szCs w:val="22"/>
                <w:lang w:eastAsia="en-US"/>
              </w:rPr>
            </w:pPr>
            <w:r>
              <w:rPr>
                <w:rFonts w:ascii="Calibri" w:hAnsi="Calibri" w:cs="Calibri"/>
                <w:szCs w:val="22"/>
                <w:lang w:eastAsia="en-US"/>
              </w:rPr>
              <w:t>0.1</w:t>
            </w:r>
          </w:p>
        </w:tc>
      </w:tr>
    </w:tbl>
    <w:p w14:paraId="2EC44292" w14:textId="77777777" w:rsidR="005725D9" w:rsidRPr="005725D9" w:rsidRDefault="005725D9" w:rsidP="005725D9">
      <w:pPr>
        <w:ind w:left="1134" w:hanging="1134"/>
        <w:jc w:val="both"/>
        <w:rPr>
          <w:sz w:val="20"/>
          <w:szCs w:val="20"/>
        </w:rPr>
      </w:pPr>
      <w:r w:rsidRPr="005725D9">
        <w:rPr>
          <w:sz w:val="20"/>
          <w:szCs w:val="20"/>
        </w:rPr>
        <w:t>Notes.</w:t>
      </w:r>
      <w:r w:rsidRPr="005725D9">
        <w:rPr>
          <w:sz w:val="20"/>
          <w:szCs w:val="20"/>
        </w:rPr>
        <w:tab/>
        <w:t xml:space="preserve">2015/16 income figures exclude non-taxpayers, and include tax credits for some in the bottom decile. Wealth includes property, financial, </w:t>
      </w:r>
      <w:proofErr w:type="gramStart"/>
      <w:r w:rsidRPr="005725D9">
        <w:rPr>
          <w:sz w:val="20"/>
          <w:szCs w:val="20"/>
        </w:rPr>
        <w:t>physical</w:t>
      </w:r>
      <w:proofErr w:type="gramEnd"/>
      <w:r w:rsidRPr="005725D9">
        <w:rPr>
          <w:sz w:val="20"/>
          <w:szCs w:val="20"/>
        </w:rPr>
        <w:t xml:space="preserve"> and private pension fund wealth.</w:t>
      </w:r>
    </w:p>
    <w:p w14:paraId="3A3AB960" w14:textId="77777777" w:rsidR="005725D9" w:rsidRPr="005725D9" w:rsidRDefault="005725D9" w:rsidP="005725D9">
      <w:pPr>
        <w:ind w:left="2552" w:hanging="2552"/>
        <w:jc w:val="both"/>
        <w:rPr>
          <w:sz w:val="20"/>
          <w:szCs w:val="20"/>
        </w:rPr>
      </w:pPr>
      <w:r w:rsidRPr="005725D9">
        <w:rPr>
          <w:sz w:val="20"/>
          <w:szCs w:val="20"/>
        </w:rPr>
        <w:t xml:space="preserve">Sources:     Income: 1979/97: Joseph Rowntree Foundation. (1997). </w:t>
      </w:r>
      <w:r w:rsidRPr="005725D9">
        <w:rPr>
          <w:i/>
          <w:iCs/>
          <w:sz w:val="20"/>
          <w:szCs w:val="20"/>
        </w:rPr>
        <w:t>Income mobility in Britain (Social Policy Research Report 121)</w:t>
      </w:r>
      <w:r w:rsidRPr="005725D9">
        <w:rPr>
          <w:sz w:val="20"/>
          <w:szCs w:val="20"/>
        </w:rPr>
        <w:t xml:space="preserve">. York: JRF. </w:t>
      </w:r>
    </w:p>
    <w:p w14:paraId="79E665A6" w14:textId="77777777" w:rsidR="005725D9" w:rsidRPr="005725D9" w:rsidRDefault="005725D9" w:rsidP="005725D9">
      <w:pPr>
        <w:ind w:left="2648" w:hanging="720"/>
        <w:jc w:val="both"/>
        <w:rPr>
          <w:sz w:val="20"/>
          <w:szCs w:val="20"/>
        </w:rPr>
      </w:pPr>
      <w:r w:rsidRPr="005725D9">
        <w:rPr>
          <w:sz w:val="20"/>
          <w:szCs w:val="20"/>
        </w:rPr>
        <w:t xml:space="preserve">2015/16 ONS. (2018a). </w:t>
      </w:r>
      <w:r w:rsidRPr="005725D9">
        <w:rPr>
          <w:i/>
          <w:iCs/>
          <w:sz w:val="20"/>
          <w:szCs w:val="20"/>
        </w:rPr>
        <w:t>Household disposable income and inequality in the UK: financial year ending 2017</w:t>
      </w:r>
      <w:r w:rsidRPr="005725D9">
        <w:rPr>
          <w:sz w:val="20"/>
          <w:szCs w:val="20"/>
        </w:rPr>
        <w:t xml:space="preserve"> Table 3.1a. London: ONS. </w:t>
      </w:r>
    </w:p>
    <w:p w14:paraId="16D67FFA" w14:textId="77777777" w:rsidR="005725D9" w:rsidRPr="005725D9" w:rsidRDefault="005725D9" w:rsidP="005725D9">
      <w:pPr>
        <w:ind w:left="2608" w:hanging="1871"/>
        <w:jc w:val="both"/>
        <w:rPr>
          <w:sz w:val="20"/>
          <w:szCs w:val="20"/>
        </w:rPr>
      </w:pPr>
      <w:r w:rsidRPr="005725D9">
        <w:rPr>
          <w:sz w:val="20"/>
          <w:szCs w:val="20"/>
        </w:rPr>
        <w:t xml:space="preserve">      Wealth: ONS (Office for National Statistics). (2018b). </w:t>
      </w:r>
      <w:r w:rsidRPr="005725D9">
        <w:rPr>
          <w:i/>
          <w:iCs/>
          <w:sz w:val="20"/>
          <w:szCs w:val="20"/>
        </w:rPr>
        <w:t xml:space="preserve">Wealth in Great Britain Wave 4, 2014 to 2016. </w:t>
      </w:r>
      <w:r w:rsidRPr="005725D9">
        <w:rPr>
          <w:sz w:val="20"/>
          <w:szCs w:val="20"/>
        </w:rPr>
        <w:t xml:space="preserve">Figure 3. London: ONS. </w:t>
      </w:r>
    </w:p>
    <w:p w14:paraId="3DF8583C" w14:textId="77777777" w:rsidR="005725D9" w:rsidRPr="005725D9" w:rsidRDefault="005725D9" w:rsidP="005725D9">
      <w:pPr>
        <w:rPr>
          <w:sz w:val="20"/>
          <w:szCs w:val="20"/>
        </w:rPr>
      </w:pPr>
    </w:p>
    <w:p w14:paraId="2C1711CB" w14:textId="71C34BBA" w:rsidR="005F3433" w:rsidRPr="008814D3" w:rsidRDefault="005F3433" w:rsidP="005F3433">
      <w:pPr>
        <w:pStyle w:val="NormalWeb"/>
        <w:shd w:val="clear" w:color="auto" w:fill="FDFDFD"/>
        <w:spacing w:before="0" w:beforeAutospacing="0" w:after="0" w:afterAutospacing="0"/>
        <w:textAlignment w:val="baseline"/>
        <w:rPr>
          <w:rFonts w:ascii="Calibri" w:hAnsi="Calibri" w:cs="Calibri"/>
          <w:szCs w:val="22"/>
        </w:rPr>
      </w:pPr>
    </w:p>
    <w:p w14:paraId="0C1264E0" w14:textId="5138110C" w:rsidR="005F3433" w:rsidRPr="008814D3" w:rsidRDefault="005F3433" w:rsidP="005F3433">
      <w:pPr>
        <w:pStyle w:val="NormalWeb"/>
        <w:shd w:val="clear" w:color="auto" w:fill="FDFDFD"/>
        <w:spacing w:before="0" w:beforeAutospacing="0" w:after="0" w:afterAutospacing="0"/>
        <w:textAlignment w:val="baseline"/>
        <w:rPr>
          <w:rFonts w:ascii="Calibri" w:hAnsi="Calibri" w:cs="Calibri"/>
          <w:szCs w:val="22"/>
        </w:rPr>
      </w:pPr>
      <w:r w:rsidRPr="008814D3">
        <w:rPr>
          <w:rFonts w:ascii="Calibri" w:hAnsi="Calibri" w:cs="Calibri"/>
          <w:szCs w:val="22"/>
        </w:rPr>
        <w:t xml:space="preserve">He observed that this countered the model of meritocracy, because the upper classes had disproportionate access to means, rights and organisational authority: </w:t>
      </w:r>
      <w:r w:rsidR="00FF1631" w:rsidRPr="008814D3">
        <w:rPr>
          <w:rFonts w:ascii="Calibri" w:hAnsi="Calibri" w:cs="Calibri"/>
          <w:szCs w:val="22"/>
        </w:rPr>
        <w:t>‘</w:t>
      </w:r>
      <w:r w:rsidRPr="008814D3">
        <w:rPr>
          <w:rFonts w:ascii="Calibri" w:hAnsi="Calibri" w:cs="Calibri"/>
          <w:szCs w:val="22"/>
        </w:rPr>
        <w:t>Equality of opportunity means an equal chance to leave the less fortunate behind in the personal quest for influence and social position</w:t>
      </w:r>
      <w:r w:rsidR="00FF1631" w:rsidRPr="008814D3">
        <w:rPr>
          <w:rFonts w:ascii="Calibri" w:hAnsi="Calibri" w:cs="Calibri"/>
          <w:szCs w:val="22"/>
        </w:rPr>
        <w:t>’</w:t>
      </w:r>
      <w:r w:rsidRPr="008814D3">
        <w:rPr>
          <w:rFonts w:ascii="Calibri" w:hAnsi="Calibri" w:cs="Calibri"/>
          <w:szCs w:val="22"/>
        </w:rPr>
        <w:t xml:space="preserve"> (Rawls, 1971, pp.</w:t>
      </w:r>
      <w:r w:rsidR="00FF1631" w:rsidRPr="008814D3">
        <w:rPr>
          <w:rFonts w:ascii="Calibri" w:hAnsi="Calibri" w:cs="Calibri"/>
          <w:szCs w:val="22"/>
        </w:rPr>
        <w:t xml:space="preserve"> </w:t>
      </w:r>
      <w:r w:rsidRPr="008814D3">
        <w:rPr>
          <w:rFonts w:ascii="Calibri" w:hAnsi="Calibri" w:cs="Calibri"/>
          <w:szCs w:val="22"/>
        </w:rPr>
        <w:t>106</w:t>
      </w:r>
      <w:r w:rsidR="007A7C27" w:rsidRPr="008814D3">
        <w:rPr>
          <w:rFonts w:ascii="Calibri" w:hAnsi="Calibri" w:cs="Calibri"/>
          <w:szCs w:val="22"/>
        </w:rPr>
        <w:t>–</w:t>
      </w:r>
      <w:r w:rsidRPr="008814D3">
        <w:rPr>
          <w:rFonts w:ascii="Calibri" w:hAnsi="Calibri" w:cs="Calibri"/>
          <w:szCs w:val="22"/>
        </w:rPr>
        <w:t>7</w:t>
      </w:r>
      <w:r w:rsidR="008E152A">
        <w:rPr>
          <w:rFonts w:ascii="Calibri" w:hAnsi="Calibri" w:cs="Calibri"/>
          <w:szCs w:val="22"/>
        </w:rPr>
        <w:t>; see also Chapter 14 in this volume</w:t>
      </w:r>
      <w:r w:rsidRPr="008814D3">
        <w:rPr>
          <w:rFonts w:ascii="Calibri" w:hAnsi="Calibri" w:cs="Calibri"/>
          <w:szCs w:val="22"/>
        </w:rPr>
        <w:t>).</w:t>
      </w:r>
      <w:r w:rsidR="00CA0AEB">
        <w:rPr>
          <w:rFonts w:ascii="Calibri" w:hAnsi="Calibri" w:cs="Calibri"/>
          <w:szCs w:val="22"/>
        </w:rPr>
        <w:t xml:space="preserve"> </w:t>
      </w:r>
    </w:p>
    <w:p w14:paraId="38B4ADD5" w14:textId="77777777" w:rsidR="005F3433" w:rsidRPr="008814D3" w:rsidRDefault="005F3433" w:rsidP="005F3433">
      <w:pPr>
        <w:shd w:val="clear" w:color="auto" w:fill="FFFFFF"/>
        <w:rPr>
          <w:rFonts w:ascii="Calibri" w:hAnsi="Calibri" w:cs="Calibri"/>
          <w:szCs w:val="22"/>
        </w:rPr>
      </w:pPr>
    </w:p>
    <w:p w14:paraId="067D90A9" w14:textId="20D98FCC"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Meritocracy has proved to be an unusually and perversely interpreted concept.</w:t>
      </w:r>
      <w:r w:rsidR="00CA0AEB">
        <w:rPr>
          <w:rFonts w:ascii="Calibri" w:hAnsi="Calibri" w:cs="Calibri"/>
          <w:szCs w:val="22"/>
        </w:rPr>
        <w:t xml:space="preserve"> </w:t>
      </w:r>
      <w:r w:rsidRPr="008814D3">
        <w:rPr>
          <w:rFonts w:ascii="Calibri" w:hAnsi="Calibri" w:cs="Calibri"/>
          <w:szCs w:val="22"/>
        </w:rPr>
        <w:t>It was by no means a twentieth century construction: imperial China had established this through competitive examinations for bureaucratic office in the Tang dynasty in the eighth century, and the ossification that followed in the effective inheritance of posts into closed circles of families (Moore, 1967, pp.</w:t>
      </w:r>
      <w:r w:rsidR="00FF1631" w:rsidRPr="008814D3">
        <w:rPr>
          <w:rFonts w:ascii="Calibri" w:hAnsi="Calibri" w:cs="Calibri"/>
          <w:szCs w:val="22"/>
        </w:rPr>
        <w:t xml:space="preserve"> </w:t>
      </w:r>
      <w:r w:rsidRPr="008814D3">
        <w:rPr>
          <w:rFonts w:ascii="Calibri" w:hAnsi="Calibri" w:cs="Calibri"/>
          <w:szCs w:val="22"/>
        </w:rPr>
        <w:t>164</w:t>
      </w:r>
      <w:r w:rsidR="007A7C27" w:rsidRPr="008814D3">
        <w:rPr>
          <w:rFonts w:ascii="Calibri" w:hAnsi="Calibri" w:cs="Calibri"/>
          <w:szCs w:val="22"/>
        </w:rPr>
        <w:t>–</w:t>
      </w:r>
      <w:r w:rsidRPr="008814D3">
        <w:rPr>
          <w:rFonts w:ascii="Calibri" w:hAnsi="Calibri" w:cs="Calibri"/>
          <w:szCs w:val="22"/>
        </w:rPr>
        <w:t xml:space="preserve">5). Both Rawls and </w:t>
      </w:r>
      <w:r w:rsidR="00882D17">
        <w:rPr>
          <w:rFonts w:ascii="Calibri" w:hAnsi="Calibri" w:cs="Calibri"/>
          <w:szCs w:val="22"/>
        </w:rPr>
        <w:t xml:space="preserve">Barrington </w:t>
      </w:r>
      <w:r w:rsidRPr="008814D3">
        <w:rPr>
          <w:rFonts w:ascii="Calibri" w:hAnsi="Calibri" w:cs="Calibri"/>
          <w:szCs w:val="22"/>
        </w:rPr>
        <w:t xml:space="preserve">Moore were drawing on the seminal satire by Michael Young, </w:t>
      </w:r>
      <w:r w:rsidRPr="008814D3">
        <w:rPr>
          <w:rFonts w:ascii="Calibri" w:hAnsi="Calibri" w:cs="Calibri"/>
          <w:i/>
          <w:szCs w:val="22"/>
        </w:rPr>
        <w:t>The Rise of the Meritocracy, 1870</w:t>
      </w:r>
      <w:r w:rsidR="007A7C27" w:rsidRPr="008814D3">
        <w:rPr>
          <w:rFonts w:ascii="Calibri" w:hAnsi="Calibri" w:cs="Calibri"/>
          <w:szCs w:val="22"/>
        </w:rPr>
        <w:t>–</w:t>
      </w:r>
      <w:r w:rsidRPr="008814D3">
        <w:rPr>
          <w:rFonts w:ascii="Calibri" w:hAnsi="Calibri" w:cs="Calibri"/>
          <w:i/>
          <w:szCs w:val="22"/>
        </w:rPr>
        <w:t>2033: An Essay on Education and Equality</w:t>
      </w:r>
      <w:r w:rsidRPr="008814D3">
        <w:rPr>
          <w:rFonts w:ascii="Calibri" w:hAnsi="Calibri" w:cs="Calibri"/>
          <w:szCs w:val="22"/>
        </w:rPr>
        <w:t xml:space="preserve"> (1958) – the title is usually abbreviated to the first five words: the two dates in the title should have alerted all those who have subsequently referred to the book without reading it that this was no ordinary ‘essay on education and equality’.</w:t>
      </w:r>
      <w:r w:rsidR="00CA0AEB">
        <w:rPr>
          <w:rFonts w:ascii="Calibri" w:hAnsi="Calibri" w:cs="Calibri"/>
          <w:szCs w:val="22"/>
        </w:rPr>
        <w:t xml:space="preserve"> </w:t>
      </w:r>
      <w:r w:rsidRPr="008814D3">
        <w:rPr>
          <w:rFonts w:ascii="Calibri" w:hAnsi="Calibri" w:cs="Calibri"/>
          <w:szCs w:val="22"/>
        </w:rPr>
        <w:t xml:space="preserve">Young’s work is a satirical fiction, supposedly written in 2034 – a half century after George Orwell’s </w:t>
      </w:r>
      <w:r w:rsidRPr="008814D3">
        <w:rPr>
          <w:rFonts w:ascii="Calibri" w:hAnsi="Calibri" w:cs="Calibri"/>
          <w:i/>
          <w:szCs w:val="22"/>
        </w:rPr>
        <w:t xml:space="preserve">Nineteen </w:t>
      </w:r>
      <w:r w:rsidR="007E6A47" w:rsidRPr="008814D3">
        <w:rPr>
          <w:rFonts w:ascii="Calibri" w:hAnsi="Calibri" w:cs="Calibri"/>
          <w:i/>
          <w:szCs w:val="22"/>
        </w:rPr>
        <w:t>Eighty-Four</w:t>
      </w:r>
      <w:r w:rsidR="007E6A47" w:rsidRPr="008814D3">
        <w:rPr>
          <w:rFonts w:ascii="Calibri" w:hAnsi="Calibri" w:cs="Calibri"/>
          <w:szCs w:val="22"/>
        </w:rPr>
        <w:t xml:space="preserve"> </w:t>
      </w:r>
      <w:r w:rsidRPr="008814D3">
        <w:rPr>
          <w:rFonts w:ascii="Calibri" w:hAnsi="Calibri" w:cs="Calibri"/>
          <w:szCs w:val="22"/>
        </w:rPr>
        <w:t xml:space="preserve">– as a sociological explanation of the </w:t>
      </w:r>
      <w:r w:rsidR="00942FF6">
        <w:rPr>
          <w:rFonts w:ascii="Calibri" w:hAnsi="Calibri" w:cs="Calibri"/>
          <w:szCs w:val="22"/>
        </w:rPr>
        <w:t>p</w:t>
      </w:r>
      <w:r w:rsidRPr="00B152B7">
        <w:rPr>
          <w:rFonts w:ascii="Calibri" w:hAnsi="Calibri" w:cs="Calibri"/>
          <w:szCs w:val="22"/>
        </w:rPr>
        <w:t xml:space="preserve">opulist </w:t>
      </w:r>
      <w:r w:rsidR="0047008B">
        <w:rPr>
          <w:rFonts w:ascii="Calibri" w:hAnsi="Calibri" w:cs="Calibri"/>
          <w:szCs w:val="22"/>
        </w:rPr>
        <w:t>ri</w:t>
      </w:r>
      <w:r w:rsidRPr="00B152B7">
        <w:rPr>
          <w:rFonts w:ascii="Calibri" w:hAnsi="Calibri" w:cs="Calibri"/>
          <w:szCs w:val="22"/>
        </w:rPr>
        <w:t>ots</w:t>
      </w:r>
      <w:r w:rsidRPr="008814D3">
        <w:rPr>
          <w:rFonts w:ascii="Calibri" w:hAnsi="Calibri" w:cs="Calibri"/>
          <w:szCs w:val="22"/>
        </w:rPr>
        <w:t xml:space="preserve"> May 2033.</w:t>
      </w:r>
      <w:r w:rsidR="00CA0AEB">
        <w:rPr>
          <w:rFonts w:ascii="Calibri" w:hAnsi="Calibri" w:cs="Calibri"/>
          <w:szCs w:val="22"/>
        </w:rPr>
        <w:t xml:space="preserve"> </w:t>
      </w:r>
      <w:r w:rsidRPr="008814D3">
        <w:rPr>
          <w:rFonts w:ascii="Calibri" w:hAnsi="Calibri" w:cs="Calibri"/>
          <w:szCs w:val="22"/>
        </w:rPr>
        <w:t xml:space="preserve">Young took the term from an article by Alan Fox (1956), who wrote of </w:t>
      </w:r>
      <w:r w:rsidR="00675126" w:rsidRPr="008814D3">
        <w:rPr>
          <w:rFonts w:ascii="Calibri" w:hAnsi="Calibri" w:cs="Calibri"/>
          <w:szCs w:val="22"/>
        </w:rPr>
        <w:t>‘</w:t>
      </w:r>
      <w:r w:rsidR="008B17EB">
        <w:t xml:space="preserve">the “meritocracy”; the society </w:t>
      </w:r>
      <w:r w:rsidRPr="008814D3">
        <w:rPr>
          <w:rFonts w:ascii="Calibri" w:hAnsi="Calibri" w:cs="Calibri"/>
          <w:szCs w:val="22"/>
        </w:rPr>
        <w:t>in which the gifted, the smart, the energetic, the ambitious and the ruthless are carefully sifted out and helped towards their destined positions of dominance</w:t>
      </w:r>
      <w:r w:rsidR="00675126" w:rsidRPr="008814D3">
        <w:rPr>
          <w:rFonts w:ascii="Calibri" w:hAnsi="Calibri" w:cs="Calibri"/>
          <w:szCs w:val="22"/>
        </w:rPr>
        <w:t>’</w:t>
      </w:r>
      <w:r w:rsidRPr="008814D3">
        <w:rPr>
          <w:rFonts w:ascii="Calibri" w:hAnsi="Calibri" w:cs="Calibri"/>
          <w:szCs w:val="22"/>
        </w:rPr>
        <w:t xml:space="preserve"> (Fox, 1956, p.</w:t>
      </w:r>
      <w:r w:rsidR="00675126" w:rsidRPr="008814D3">
        <w:rPr>
          <w:rFonts w:ascii="Calibri" w:hAnsi="Calibri" w:cs="Calibri"/>
          <w:szCs w:val="22"/>
        </w:rPr>
        <w:t xml:space="preserve"> </w:t>
      </w:r>
      <w:r w:rsidRPr="008814D3">
        <w:rPr>
          <w:rFonts w:ascii="Calibri" w:hAnsi="Calibri" w:cs="Calibri"/>
          <w:szCs w:val="22"/>
        </w:rPr>
        <w:t>13).</w:t>
      </w:r>
      <w:r w:rsidR="00CA0AEB">
        <w:rPr>
          <w:rFonts w:ascii="Calibri" w:hAnsi="Calibri" w:cs="Calibri"/>
          <w:szCs w:val="22"/>
        </w:rPr>
        <w:t xml:space="preserve"> </w:t>
      </w:r>
      <w:r w:rsidRPr="008814D3">
        <w:rPr>
          <w:rFonts w:ascii="Calibri" w:hAnsi="Calibri" w:cs="Calibri"/>
          <w:szCs w:val="22"/>
        </w:rPr>
        <w:t>In an academic style, Young sets out – with references to real social analysts before 1957, and many fictional reports and articles after this date – an explanation of how the development of equality of opportunity and attempts to increase social mobility</w:t>
      </w:r>
      <w:r w:rsidR="006A7C6B">
        <w:rPr>
          <w:rFonts w:ascii="Calibri" w:hAnsi="Calibri" w:cs="Calibri"/>
          <w:szCs w:val="22"/>
        </w:rPr>
        <w:t>,</w:t>
      </w:r>
      <w:r w:rsidRPr="008814D3">
        <w:rPr>
          <w:rFonts w:ascii="Calibri" w:hAnsi="Calibri" w:cs="Calibri"/>
          <w:szCs w:val="22"/>
        </w:rPr>
        <w:t xml:space="preserve"> building on Tawney and many others</w:t>
      </w:r>
      <w:r w:rsidR="006A7C6B">
        <w:rPr>
          <w:rFonts w:ascii="Calibri" w:hAnsi="Calibri" w:cs="Calibri"/>
          <w:szCs w:val="22"/>
        </w:rPr>
        <w:t xml:space="preserve">, </w:t>
      </w:r>
      <w:r w:rsidRPr="008814D3">
        <w:rPr>
          <w:rFonts w:ascii="Calibri" w:hAnsi="Calibri" w:cs="Calibri"/>
          <w:szCs w:val="22"/>
        </w:rPr>
        <w:t>had led to the rise of a closed group of wealthier families, who gained privileged access to the educational systems that validated their children’s entitlement to power and position.</w:t>
      </w:r>
      <w:r w:rsidR="00CA0AEB">
        <w:rPr>
          <w:rFonts w:ascii="Calibri" w:hAnsi="Calibri" w:cs="Calibri"/>
          <w:szCs w:val="22"/>
        </w:rPr>
        <w:t xml:space="preserve"> </w:t>
      </w:r>
    </w:p>
    <w:p w14:paraId="7344A06E" w14:textId="77777777" w:rsidR="00B7175C" w:rsidRPr="008814D3" w:rsidRDefault="00B7175C" w:rsidP="005F3433">
      <w:pPr>
        <w:shd w:val="clear" w:color="auto" w:fill="FFFFFF"/>
        <w:ind w:left="720"/>
        <w:rPr>
          <w:rFonts w:ascii="Calibri" w:hAnsi="Calibri" w:cs="Calibri"/>
          <w:szCs w:val="22"/>
        </w:rPr>
      </w:pPr>
    </w:p>
    <w:p w14:paraId="1A23536D" w14:textId="509D2166" w:rsidR="005F3433" w:rsidRPr="008814D3" w:rsidRDefault="005F3433" w:rsidP="005F3433">
      <w:pPr>
        <w:shd w:val="clear" w:color="auto" w:fill="FFFFFF"/>
        <w:ind w:left="720"/>
        <w:rPr>
          <w:rFonts w:ascii="Calibri" w:hAnsi="Calibri" w:cs="Calibri"/>
          <w:szCs w:val="22"/>
        </w:rPr>
      </w:pPr>
      <w:r w:rsidRPr="008814D3">
        <w:rPr>
          <w:rFonts w:ascii="Calibri" w:hAnsi="Calibri" w:cs="Calibri"/>
          <w:szCs w:val="22"/>
        </w:rPr>
        <w:t xml:space="preserve">Many people were catapulted forward by their parents’ riches and influence … they were sent to the best schools and colleges, dispatched on trips abroad and given expensive training for the Bar, counting-house or surgery … Educational injustice enabled people to </w:t>
      </w:r>
      <w:r w:rsidRPr="008814D3">
        <w:rPr>
          <w:rFonts w:ascii="Calibri" w:hAnsi="Calibri" w:cs="Calibri"/>
          <w:szCs w:val="22"/>
        </w:rPr>
        <w:lastRenderedPageBreak/>
        <w:t xml:space="preserve">preserve their illusions, inequality of opportunity fostered the myth of human equality. Myth we know it to </w:t>
      </w:r>
      <w:proofErr w:type="gramStart"/>
      <w:r w:rsidRPr="008814D3">
        <w:rPr>
          <w:rFonts w:ascii="Calibri" w:hAnsi="Calibri" w:cs="Calibri"/>
          <w:szCs w:val="22"/>
        </w:rPr>
        <w:t>be;</w:t>
      </w:r>
      <w:proofErr w:type="gramEnd"/>
      <w:r w:rsidRPr="008814D3">
        <w:rPr>
          <w:rFonts w:ascii="Calibri" w:hAnsi="Calibri" w:cs="Calibri"/>
          <w:szCs w:val="22"/>
        </w:rPr>
        <w:t xml:space="preserve"> not so our ancestors. (Young, 1958, pp.</w:t>
      </w:r>
      <w:r w:rsidR="00B7175C" w:rsidRPr="008814D3">
        <w:rPr>
          <w:rFonts w:ascii="Calibri" w:hAnsi="Calibri" w:cs="Calibri"/>
          <w:szCs w:val="22"/>
        </w:rPr>
        <w:t xml:space="preserve"> </w:t>
      </w:r>
      <w:r w:rsidRPr="008814D3">
        <w:rPr>
          <w:rFonts w:ascii="Calibri" w:hAnsi="Calibri" w:cs="Calibri"/>
          <w:szCs w:val="22"/>
        </w:rPr>
        <w:t>104, 106)</w:t>
      </w:r>
    </w:p>
    <w:p w14:paraId="584440A2" w14:textId="77777777" w:rsidR="005F3433" w:rsidRPr="008814D3" w:rsidRDefault="005F3433" w:rsidP="005F3433">
      <w:pPr>
        <w:shd w:val="clear" w:color="auto" w:fill="FFFFFF"/>
        <w:ind w:left="720"/>
        <w:rPr>
          <w:rFonts w:ascii="Calibri" w:hAnsi="Calibri" w:cs="Calibri"/>
          <w:szCs w:val="22"/>
        </w:rPr>
      </w:pPr>
    </w:p>
    <w:p w14:paraId="0F7AF604" w14:textId="71BB19EA" w:rsidR="00EB2254" w:rsidRDefault="005F3433" w:rsidP="005F3433">
      <w:pPr>
        <w:shd w:val="clear" w:color="auto" w:fill="FFFFFF"/>
        <w:rPr>
          <w:rFonts w:ascii="Calibri" w:hAnsi="Calibri" w:cs="Calibri"/>
          <w:szCs w:val="22"/>
        </w:rPr>
      </w:pPr>
      <w:r w:rsidRPr="008814D3">
        <w:rPr>
          <w:rFonts w:ascii="Calibri" w:hAnsi="Calibri" w:cs="Calibri"/>
          <w:szCs w:val="22"/>
        </w:rPr>
        <w:t xml:space="preserve">Young’s thesis was intended as a dystopian warning: if equality was reduced to the mere </w:t>
      </w:r>
      <w:r w:rsidRPr="008814D3">
        <w:rPr>
          <w:rFonts w:ascii="Calibri" w:hAnsi="Calibri" w:cs="Calibri"/>
          <w:i/>
          <w:szCs w:val="22"/>
        </w:rPr>
        <w:t xml:space="preserve">opportunity </w:t>
      </w:r>
      <w:r w:rsidRPr="008814D3">
        <w:rPr>
          <w:rFonts w:ascii="Calibri" w:hAnsi="Calibri" w:cs="Calibri"/>
          <w:szCs w:val="22"/>
        </w:rPr>
        <w:t>to succeed, then it would impede and militate against social mobility.</w:t>
      </w:r>
      <w:r w:rsidR="00CA0AEB">
        <w:rPr>
          <w:rFonts w:ascii="Calibri" w:hAnsi="Calibri" w:cs="Calibri"/>
          <w:szCs w:val="22"/>
        </w:rPr>
        <w:t xml:space="preserve"> </w:t>
      </w:r>
      <w:r w:rsidRPr="008814D3">
        <w:rPr>
          <w:rFonts w:ascii="Calibri" w:hAnsi="Calibri" w:cs="Calibri"/>
          <w:szCs w:val="22"/>
        </w:rPr>
        <w:t xml:space="preserve">As Reay, writing </w:t>
      </w:r>
      <w:r w:rsidR="00AB4965">
        <w:rPr>
          <w:rFonts w:ascii="Calibri" w:hAnsi="Calibri" w:cs="Calibri"/>
          <w:szCs w:val="22"/>
        </w:rPr>
        <w:t>60</w:t>
      </w:r>
      <w:r w:rsidRPr="008814D3">
        <w:rPr>
          <w:rFonts w:ascii="Calibri" w:hAnsi="Calibri" w:cs="Calibri"/>
          <w:szCs w:val="22"/>
        </w:rPr>
        <w:t xml:space="preserve"> years later, observes, a small number of elite universities</w:t>
      </w:r>
      <w:r w:rsidR="00EB2254">
        <w:rPr>
          <w:rFonts w:ascii="Calibri" w:hAnsi="Calibri" w:cs="Calibri"/>
          <w:szCs w:val="22"/>
        </w:rPr>
        <w:t>:</w:t>
      </w:r>
    </w:p>
    <w:p w14:paraId="521CECF0" w14:textId="77777777" w:rsidR="00EB2254" w:rsidRDefault="00EB2254" w:rsidP="005F3433">
      <w:pPr>
        <w:shd w:val="clear" w:color="auto" w:fill="FFFFFF"/>
        <w:rPr>
          <w:rFonts w:ascii="Calibri" w:hAnsi="Calibri" w:cs="Calibri"/>
          <w:szCs w:val="22"/>
        </w:rPr>
      </w:pPr>
    </w:p>
    <w:p w14:paraId="4D705DFE" w14:textId="6627B81D" w:rsidR="005F3433" w:rsidRPr="008814D3" w:rsidRDefault="00EB2254" w:rsidP="00EB2254">
      <w:pPr>
        <w:shd w:val="clear" w:color="auto" w:fill="FFFFFF"/>
        <w:ind w:left="720"/>
        <w:rPr>
          <w:rFonts w:ascii="Calibri" w:hAnsi="Calibri" w:cs="Calibri"/>
          <w:szCs w:val="22"/>
        </w:rPr>
      </w:pPr>
      <w:r>
        <w:rPr>
          <w:rFonts w:ascii="Calibri" w:hAnsi="Calibri" w:cs="Calibri"/>
          <w:szCs w:val="22"/>
        </w:rPr>
        <w:t xml:space="preserve">… </w:t>
      </w:r>
      <w:r w:rsidR="005F3433" w:rsidRPr="008814D3">
        <w:rPr>
          <w:rFonts w:ascii="Calibri" w:hAnsi="Calibri" w:cs="Calibri"/>
          <w:szCs w:val="22"/>
        </w:rPr>
        <w:t>reproduce the British elite … polishing, refining and accentuating the elitism and sense of superiority acquired in earlier schooling. … Educational choice is based on the resources and social power and networks of the parents rather than the ability and effort of the child. Meritocracy is all ideological bluff with no substance</w:t>
      </w:r>
      <w:r>
        <w:rPr>
          <w:rFonts w:ascii="Calibri" w:hAnsi="Calibri" w:cs="Calibri"/>
          <w:szCs w:val="22"/>
        </w:rPr>
        <w:t>.</w:t>
      </w:r>
      <w:r w:rsidR="005F3433" w:rsidRPr="008814D3">
        <w:rPr>
          <w:rFonts w:ascii="Calibri" w:hAnsi="Calibri" w:cs="Calibri"/>
          <w:szCs w:val="22"/>
        </w:rPr>
        <w:t xml:space="preserve"> (Reay, 2017, p.</w:t>
      </w:r>
      <w:r w:rsidR="00A67F5A" w:rsidRPr="008814D3">
        <w:rPr>
          <w:rFonts w:ascii="Calibri" w:hAnsi="Calibri" w:cs="Calibri"/>
          <w:szCs w:val="22"/>
        </w:rPr>
        <w:t xml:space="preserve"> </w:t>
      </w:r>
      <w:r w:rsidR="005F3433" w:rsidRPr="008814D3">
        <w:rPr>
          <w:rFonts w:ascii="Calibri" w:hAnsi="Calibri" w:cs="Calibri"/>
          <w:szCs w:val="22"/>
        </w:rPr>
        <w:t>123)</w:t>
      </w:r>
      <w:r w:rsidR="00CA0AEB">
        <w:rPr>
          <w:rFonts w:ascii="Calibri" w:hAnsi="Calibri" w:cs="Calibri"/>
          <w:szCs w:val="22"/>
        </w:rPr>
        <w:t xml:space="preserve"> </w:t>
      </w:r>
    </w:p>
    <w:p w14:paraId="6AD2BCA0" w14:textId="3ABA85C2" w:rsidR="005F3433" w:rsidRPr="008814D3" w:rsidRDefault="005F3433" w:rsidP="005F3433">
      <w:pPr>
        <w:shd w:val="clear" w:color="auto" w:fill="FFFFFF"/>
        <w:rPr>
          <w:rFonts w:ascii="Calibri" w:hAnsi="Calibri" w:cs="Calibri"/>
          <w:szCs w:val="22"/>
        </w:rPr>
      </w:pPr>
    </w:p>
    <w:p w14:paraId="319B40C9" w14:textId="0A7F3A22"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Meritocracy has turned education into a competition for accreditation. Equality of opportunity is used to justify the concentration of educational resources on the fraction of the population who are judged to ‘best benefit’ by its efforts.</w:t>
      </w:r>
      <w:r w:rsidR="00CA0AEB">
        <w:rPr>
          <w:rFonts w:ascii="Calibri" w:hAnsi="Calibri" w:cs="Calibri"/>
          <w:szCs w:val="22"/>
        </w:rPr>
        <w:t xml:space="preserve"> </w:t>
      </w:r>
      <w:r w:rsidRPr="008814D3">
        <w:rPr>
          <w:rFonts w:ascii="Calibri" w:hAnsi="Calibri" w:cs="Calibri"/>
          <w:szCs w:val="22"/>
        </w:rPr>
        <w:t>Those with ability and application are rewarded with examination grades and access to particular higher education that entitle them to positions of power, influence and wealth.</w:t>
      </w:r>
      <w:r w:rsidR="00CA0AEB">
        <w:rPr>
          <w:rFonts w:ascii="Calibri" w:hAnsi="Calibri" w:cs="Calibri"/>
          <w:szCs w:val="22"/>
        </w:rPr>
        <w:t xml:space="preserve"> </w:t>
      </w:r>
      <w:r w:rsidRPr="008814D3">
        <w:rPr>
          <w:rFonts w:ascii="Calibri" w:hAnsi="Calibri" w:cs="Calibri"/>
          <w:szCs w:val="22"/>
        </w:rPr>
        <w:t xml:space="preserve">Those judged not to have ability, or not to make sufficient application to their studies, will </w:t>
      </w:r>
      <w:proofErr w:type="gramStart"/>
      <w:r w:rsidRPr="008814D3">
        <w:rPr>
          <w:rFonts w:ascii="Calibri" w:hAnsi="Calibri" w:cs="Calibri"/>
          <w:szCs w:val="22"/>
        </w:rPr>
        <w:t>fail:</w:t>
      </w:r>
      <w:proofErr w:type="gramEnd"/>
      <w:r w:rsidRPr="008814D3">
        <w:rPr>
          <w:rFonts w:ascii="Calibri" w:hAnsi="Calibri" w:cs="Calibri"/>
          <w:szCs w:val="22"/>
        </w:rPr>
        <w:t xml:space="preserve"> but this failure will be justified as a consequence of their lack of talent or of effort.</w:t>
      </w:r>
      <w:r w:rsidR="00CA0AEB">
        <w:rPr>
          <w:rFonts w:ascii="Calibri" w:hAnsi="Calibri" w:cs="Calibri"/>
          <w:szCs w:val="22"/>
        </w:rPr>
        <w:t xml:space="preserve"> </w:t>
      </w:r>
      <w:r w:rsidRPr="008814D3">
        <w:rPr>
          <w:rFonts w:ascii="Calibri" w:hAnsi="Calibri" w:cs="Calibri"/>
          <w:szCs w:val="22"/>
        </w:rPr>
        <w:t>It is turned into a game, with the metaphor of ‘a level playing field’ being used to justify winners and losers.</w:t>
      </w:r>
      <w:r w:rsidR="00CA0AEB">
        <w:rPr>
          <w:rFonts w:ascii="Calibri" w:hAnsi="Calibri" w:cs="Calibri"/>
          <w:szCs w:val="22"/>
        </w:rPr>
        <w:t xml:space="preserve"> </w:t>
      </w:r>
      <w:r w:rsidRPr="008814D3">
        <w:rPr>
          <w:rFonts w:ascii="Calibri" w:hAnsi="Calibri" w:cs="Calibri"/>
          <w:szCs w:val="22"/>
        </w:rPr>
        <w:t>Despite the rhetoric of ‘raising standards’, the objective of the educational system is to identify and mark sheep and goats. The losers – and there must be losers, if winners are to emerge – become the authors of their own subsequent misfortunes, and are encouraged to believe and accept this.</w:t>
      </w:r>
      <w:r w:rsidR="00CA0AEB">
        <w:rPr>
          <w:rFonts w:ascii="Calibri" w:hAnsi="Calibri" w:cs="Calibri"/>
          <w:szCs w:val="22"/>
        </w:rPr>
        <w:t xml:space="preserve"> </w:t>
      </w:r>
    </w:p>
    <w:p w14:paraId="2C111FD6" w14:textId="77777777" w:rsidR="005F3433" w:rsidRPr="008814D3" w:rsidRDefault="005F3433" w:rsidP="005F3433">
      <w:pPr>
        <w:shd w:val="clear" w:color="auto" w:fill="FFFFFF"/>
        <w:rPr>
          <w:rFonts w:ascii="Calibri" w:hAnsi="Calibri" w:cs="Calibri"/>
          <w:szCs w:val="22"/>
        </w:rPr>
      </w:pPr>
    </w:p>
    <w:p w14:paraId="27FF0CCA" w14:textId="5DC89912"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 xml:space="preserve">Young wrote in 2001, six months before his death, how </w:t>
      </w:r>
      <w:r w:rsidR="00EB2254">
        <w:rPr>
          <w:rFonts w:ascii="Calibri" w:hAnsi="Calibri" w:cs="Calibri"/>
          <w:szCs w:val="22"/>
        </w:rPr>
        <w:t>‘</w:t>
      </w:r>
      <w:r w:rsidRPr="008814D3">
        <w:rPr>
          <w:rFonts w:ascii="Calibri" w:hAnsi="Calibri" w:cs="Calibri"/>
          <w:szCs w:val="22"/>
        </w:rPr>
        <w:t>sadly disappointed</w:t>
      </w:r>
      <w:r w:rsidR="00EB2254">
        <w:rPr>
          <w:rFonts w:ascii="Calibri" w:hAnsi="Calibri" w:cs="Calibri"/>
          <w:szCs w:val="22"/>
        </w:rPr>
        <w:t>’</w:t>
      </w:r>
      <w:r w:rsidRPr="008814D3">
        <w:rPr>
          <w:rFonts w:ascii="Calibri" w:hAnsi="Calibri" w:cs="Calibri"/>
          <w:szCs w:val="22"/>
        </w:rPr>
        <w:t xml:space="preserve"> he was at the misuse of his book</w:t>
      </w:r>
      <w:r w:rsidR="002B474A">
        <w:rPr>
          <w:rFonts w:ascii="Calibri" w:hAnsi="Calibri" w:cs="Calibri"/>
          <w:szCs w:val="22"/>
        </w:rPr>
        <w:t>:</w:t>
      </w:r>
      <w:r w:rsidRPr="008814D3">
        <w:rPr>
          <w:rFonts w:ascii="Calibri" w:hAnsi="Calibri" w:cs="Calibri"/>
          <w:szCs w:val="22"/>
        </w:rPr>
        <w:t xml:space="preserve"> </w:t>
      </w:r>
    </w:p>
    <w:p w14:paraId="3C5AAC1D" w14:textId="77777777" w:rsidR="00A67F5A" w:rsidRPr="008814D3" w:rsidRDefault="00A67F5A" w:rsidP="005F3433">
      <w:pPr>
        <w:shd w:val="clear" w:color="auto" w:fill="FFFFFF"/>
        <w:ind w:left="720"/>
        <w:rPr>
          <w:rFonts w:ascii="Calibri" w:hAnsi="Calibri" w:cs="Calibri"/>
          <w:szCs w:val="22"/>
        </w:rPr>
      </w:pPr>
    </w:p>
    <w:p w14:paraId="7E9A7620" w14:textId="047956D7" w:rsidR="005F3433" w:rsidRPr="008814D3" w:rsidRDefault="005F3433" w:rsidP="005F3433">
      <w:pPr>
        <w:shd w:val="clear" w:color="auto" w:fill="FFFFFF"/>
        <w:ind w:left="720"/>
        <w:rPr>
          <w:rFonts w:ascii="Calibri" w:hAnsi="Calibri" w:cs="Calibri"/>
          <w:szCs w:val="22"/>
        </w:rPr>
      </w:pPr>
      <w:r w:rsidRPr="008814D3">
        <w:rPr>
          <w:rFonts w:ascii="Calibri" w:hAnsi="Calibri" w:cs="Calibri"/>
          <w:szCs w:val="22"/>
        </w:rPr>
        <w:t>It is good sense to appoint individual people to jobs on their merit. It is the opposite when those who are judged to have merit of a particular kind harden into a new social class without room in it for others. Ability of a conventional kind, which used to be distributed between the classes more or less at random, has become much more concentrated by the engine of revolution. A social revolution has been accomplished by harnessing schools and universities to the task of sieving people according to education’s narrow band of values. With an amazing battery of certificates and degrees … education has put its seal of approval on a minority, and its seal of disapproval on the many</w:t>
      </w:r>
      <w:r w:rsidR="00A67F5A" w:rsidRPr="008814D3">
        <w:rPr>
          <w:rFonts w:ascii="Calibri" w:hAnsi="Calibri" w:cs="Calibri"/>
          <w:szCs w:val="22"/>
        </w:rPr>
        <w:t>.</w:t>
      </w:r>
      <w:r w:rsidR="00CA0AEB">
        <w:rPr>
          <w:rFonts w:ascii="Calibri" w:hAnsi="Calibri" w:cs="Calibri"/>
          <w:szCs w:val="22"/>
        </w:rPr>
        <w:t xml:space="preserve"> </w:t>
      </w:r>
      <w:r w:rsidRPr="008814D3">
        <w:rPr>
          <w:rFonts w:ascii="Calibri" w:hAnsi="Calibri" w:cs="Calibri"/>
          <w:szCs w:val="22"/>
        </w:rPr>
        <w:t>(Young, 2001)</w:t>
      </w:r>
    </w:p>
    <w:p w14:paraId="06B2942D" w14:textId="77777777" w:rsidR="005F3433" w:rsidRPr="008814D3" w:rsidRDefault="005F3433" w:rsidP="005F3433">
      <w:pPr>
        <w:shd w:val="clear" w:color="auto" w:fill="FFFFFF"/>
        <w:rPr>
          <w:rFonts w:ascii="Calibri" w:hAnsi="Calibri" w:cs="Calibri"/>
          <w:szCs w:val="22"/>
        </w:rPr>
      </w:pPr>
    </w:p>
    <w:p w14:paraId="0BEB4137" w14:textId="2749521C"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Access to higher education, in the UK and in most other countries, expanded dramatically in the 1990s and 2000s.</w:t>
      </w:r>
      <w:r w:rsidR="00CA0AEB">
        <w:rPr>
          <w:rFonts w:ascii="Calibri" w:hAnsi="Calibri" w:cs="Calibri"/>
          <w:szCs w:val="22"/>
        </w:rPr>
        <w:t xml:space="preserve"> </w:t>
      </w:r>
      <w:r w:rsidRPr="008814D3">
        <w:rPr>
          <w:rFonts w:ascii="Calibri" w:hAnsi="Calibri" w:cs="Calibri"/>
          <w:szCs w:val="22"/>
        </w:rPr>
        <w:t>But it did so differentially: most of the growth was achieved by recruiting more and more middle</w:t>
      </w:r>
      <w:r w:rsidR="00AB4965">
        <w:rPr>
          <w:rFonts w:ascii="Calibri" w:hAnsi="Calibri" w:cs="Calibri"/>
          <w:szCs w:val="22"/>
        </w:rPr>
        <w:t>-</w:t>
      </w:r>
      <w:r w:rsidRPr="008814D3">
        <w:rPr>
          <w:rFonts w:ascii="Calibri" w:hAnsi="Calibri" w:cs="Calibri"/>
          <w:szCs w:val="22"/>
        </w:rPr>
        <w:t>class young people.</w:t>
      </w:r>
      <w:r w:rsidR="00CA0AEB">
        <w:rPr>
          <w:rFonts w:ascii="Calibri" w:hAnsi="Calibri" w:cs="Calibri"/>
          <w:szCs w:val="22"/>
        </w:rPr>
        <w:t xml:space="preserve"> </w:t>
      </w:r>
      <w:r w:rsidRPr="008814D3">
        <w:rPr>
          <w:rFonts w:ascii="Calibri" w:hAnsi="Calibri" w:cs="Calibri"/>
          <w:szCs w:val="22"/>
        </w:rPr>
        <w:t xml:space="preserve">Instead of a relatively small proportion of the middle classes attending university, as in the 1940s and 1950s, it became for them a </w:t>
      </w:r>
      <w:r w:rsidRPr="008814D3">
        <w:rPr>
          <w:rFonts w:ascii="Calibri" w:hAnsi="Calibri" w:cs="Calibri"/>
          <w:i/>
          <w:szCs w:val="22"/>
        </w:rPr>
        <w:t>rite de passage</w:t>
      </w:r>
      <w:r w:rsidRPr="008814D3">
        <w:rPr>
          <w:rFonts w:ascii="Calibri" w:hAnsi="Calibri" w:cs="Calibri"/>
          <w:szCs w:val="22"/>
        </w:rPr>
        <w:t>.</w:t>
      </w:r>
      <w:r w:rsidR="00CA0AEB">
        <w:rPr>
          <w:rFonts w:ascii="Calibri" w:hAnsi="Calibri" w:cs="Calibri"/>
          <w:szCs w:val="22"/>
        </w:rPr>
        <w:t xml:space="preserve"> </w:t>
      </w:r>
      <w:r w:rsidRPr="008814D3">
        <w:rPr>
          <w:rFonts w:ascii="Calibri" w:hAnsi="Calibri" w:cs="Calibri"/>
          <w:szCs w:val="22"/>
        </w:rPr>
        <w:t>For working</w:t>
      </w:r>
      <w:r w:rsidR="00AB4965">
        <w:rPr>
          <w:rFonts w:ascii="Calibri" w:hAnsi="Calibri" w:cs="Calibri"/>
          <w:szCs w:val="22"/>
        </w:rPr>
        <w:t>-</w:t>
      </w:r>
      <w:r w:rsidRPr="008814D3">
        <w:rPr>
          <w:rFonts w:ascii="Calibri" w:hAnsi="Calibri" w:cs="Calibri"/>
          <w:szCs w:val="22"/>
        </w:rPr>
        <w:t>class young people – always a tiny minority of university entrants – it remains a far less common route (Archer, Hutchings and Ross, 2003).</w:t>
      </w:r>
      <w:r w:rsidR="00CA0AEB">
        <w:rPr>
          <w:rFonts w:ascii="Calibri" w:hAnsi="Calibri" w:cs="Calibri"/>
          <w:szCs w:val="22"/>
        </w:rPr>
        <w:t xml:space="preserve"> </w:t>
      </w:r>
      <w:r w:rsidRPr="008814D3">
        <w:rPr>
          <w:rFonts w:ascii="Calibri" w:hAnsi="Calibri" w:cs="Calibri"/>
          <w:szCs w:val="22"/>
        </w:rPr>
        <w:t xml:space="preserve">This is a global phenomenon: Oliver </w:t>
      </w:r>
      <w:proofErr w:type="spellStart"/>
      <w:r w:rsidRPr="008814D3">
        <w:rPr>
          <w:rFonts w:ascii="Calibri" w:hAnsi="Calibri" w:cs="Calibri"/>
          <w:szCs w:val="22"/>
        </w:rPr>
        <w:t>Nachtwey</w:t>
      </w:r>
      <w:proofErr w:type="spellEnd"/>
      <w:r w:rsidRPr="008814D3">
        <w:rPr>
          <w:rFonts w:ascii="Calibri" w:hAnsi="Calibri" w:cs="Calibri"/>
          <w:szCs w:val="22"/>
        </w:rPr>
        <w:t xml:space="preserve"> has recently analysed what he calls the </w:t>
      </w:r>
      <w:r w:rsidR="00A67F5A" w:rsidRPr="008814D3">
        <w:rPr>
          <w:rFonts w:ascii="Calibri" w:hAnsi="Calibri" w:cs="Calibri"/>
          <w:szCs w:val="22"/>
        </w:rPr>
        <w:t>‘</w:t>
      </w:r>
      <w:r w:rsidRPr="008814D3">
        <w:rPr>
          <w:rFonts w:ascii="Calibri" w:hAnsi="Calibri" w:cs="Calibri"/>
          <w:szCs w:val="22"/>
        </w:rPr>
        <w:t>regressive modernization</w:t>
      </w:r>
      <w:r w:rsidR="00A67F5A" w:rsidRPr="008814D3">
        <w:rPr>
          <w:rFonts w:ascii="Calibri" w:hAnsi="Calibri" w:cs="Calibri"/>
          <w:szCs w:val="22"/>
        </w:rPr>
        <w:t>’</w:t>
      </w:r>
      <w:r w:rsidRPr="008814D3">
        <w:rPr>
          <w:rFonts w:ascii="Calibri" w:hAnsi="Calibri" w:cs="Calibri"/>
          <w:szCs w:val="22"/>
        </w:rPr>
        <w:t xml:space="preserve"> of Germany, concluding</w:t>
      </w:r>
      <w:r w:rsidR="00A67F5A" w:rsidRPr="008814D3">
        <w:rPr>
          <w:rFonts w:ascii="Calibri" w:hAnsi="Calibri" w:cs="Calibri"/>
          <w:szCs w:val="22"/>
        </w:rPr>
        <w:t xml:space="preserve"> that</w:t>
      </w:r>
      <w:r w:rsidRPr="008814D3">
        <w:rPr>
          <w:rFonts w:ascii="Calibri" w:hAnsi="Calibri" w:cs="Calibri"/>
          <w:szCs w:val="22"/>
        </w:rPr>
        <w:t xml:space="preserve"> </w:t>
      </w:r>
      <w:r w:rsidR="00A67F5A" w:rsidRPr="008814D3">
        <w:rPr>
          <w:rFonts w:ascii="Calibri" w:hAnsi="Calibri" w:cs="Calibri"/>
          <w:szCs w:val="22"/>
        </w:rPr>
        <w:t>‘</w:t>
      </w:r>
      <w:r w:rsidRPr="008814D3">
        <w:rPr>
          <w:rFonts w:ascii="Calibri" w:hAnsi="Calibri" w:cs="Calibri"/>
          <w:szCs w:val="22"/>
        </w:rPr>
        <w:t>the more a society is based on equality of opportunity, the more unequal it becomes, and the more legitimate its inequalities</w:t>
      </w:r>
      <w:r w:rsidR="00A67F5A" w:rsidRPr="008814D3">
        <w:rPr>
          <w:rFonts w:ascii="Calibri" w:hAnsi="Calibri" w:cs="Calibri"/>
          <w:szCs w:val="22"/>
        </w:rPr>
        <w:t>’</w:t>
      </w:r>
      <w:r w:rsidRPr="008814D3">
        <w:rPr>
          <w:rFonts w:ascii="Calibri" w:hAnsi="Calibri" w:cs="Calibri"/>
          <w:szCs w:val="22"/>
        </w:rPr>
        <w:t xml:space="preserve"> (</w:t>
      </w:r>
      <w:proofErr w:type="spellStart"/>
      <w:r w:rsidRPr="008814D3">
        <w:rPr>
          <w:rFonts w:ascii="Calibri" w:hAnsi="Calibri" w:cs="Calibri"/>
          <w:szCs w:val="22"/>
        </w:rPr>
        <w:t>Nachtwey</w:t>
      </w:r>
      <w:proofErr w:type="spellEnd"/>
      <w:r w:rsidRPr="008814D3">
        <w:rPr>
          <w:rFonts w:ascii="Calibri" w:hAnsi="Calibri" w:cs="Calibri"/>
          <w:szCs w:val="22"/>
        </w:rPr>
        <w:t>, 2018, p.</w:t>
      </w:r>
      <w:r w:rsidR="00A67F5A" w:rsidRPr="008814D3">
        <w:rPr>
          <w:rFonts w:ascii="Calibri" w:hAnsi="Calibri" w:cs="Calibri"/>
          <w:szCs w:val="22"/>
        </w:rPr>
        <w:t xml:space="preserve"> </w:t>
      </w:r>
      <w:r w:rsidRPr="008814D3">
        <w:rPr>
          <w:rFonts w:ascii="Calibri" w:hAnsi="Calibri" w:cs="Calibri"/>
          <w:szCs w:val="22"/>
        </w:rPr>
        <w:t>99).</w:t>
      </w:r>
      <w:r w:rsidR="00CA0AEB">
        <w:rPr>
          <w:rFonts w:ascii="Calibri" w:hAnsi="Calibri" w:cs="Calibri"/>
          <w:szCs w:val="22"/>
        </w:rPr>
        <w:t xml:space="preserve"> </w:t>
      </w:r>
    </w:p>
    <w:p w14:paraId="5B319DAA" w14:textId="77777777" w:rsidR="005F3433" w:rsidRPr="008814D3" w:rsidRDefault="005F3433" w:rsidP="005F3433">
      <w:pPr>
        <w:shd w:val="clear" w:color="auto" w:fill="FFFFFF"/>
        <w:rPr>
          <w:rFonts w:ascii="Calibri" w:hAnsi="Calibri" w:cs="Calibri"/>
          <w:szCs w:val="22"/>
        </w:rPr>
      </w:pPr>
    </w:p>
    <w:p w14:paraId="197A75ED" w14:textId="177AF01B" w:rsidR="005F3433" w:rsidRPr="008814D3" w:rsidRDefault="005F3433" w:rsidP="005F3433">
      <w:pPr>
        <w:shd w:val="clear" w:color="auto" w:fill="FFFFFF"/>
        <w:rPr>
          <w:rStyle w:val="Strong"/>
          <w:rFonts w:ascii="Calibri" w:hAnsi="Calibri" w:cs="Calibri"/>
          <w:b w:val="0"/>
          <w:szCs w:val="22"/>
          <w:bdr w:val="none" w:sz="0" w:space="0" w:color="auto" w:frame="1"/>
          <w:shd w:val="clear" w:color="auto" w:fill="FFFFFF"/>
        </w:rPr>
      </w:pPr>
      <w:r w:rsidRPr="008814D3">
        <w:rPr>
          <w:rFonts w:ascii="Calibri" w:hAnsi="Calibri" w:cs="Calibri"/>
          <w:szCs w:val="22"/>
        </w:rPr>
        <w:t>There is an argument that this does not matter: the size of the pot is increasing, and almost everyone is, in historical terms, better off than before.</w:t>
      </w:r>
      <w:r w:rsidR="00CA0AEB">
        <w:rPr>
          <w:rFonts w:ascii="Calibri" w:hAnsi="Calibri" w:cs="Calibri"/>
          <w:szCs w:val="22"/>
        </w:rPr>
        <w:t xml:space="preserve"> </w:t>
      </w:r>
      <w:r w:rsidRPr="008814D3">
        <w:rPr>
          <w:rFonts w:ascii="Calibri" w:hAnsi="Calibri" w:cs="Calibri"/>
          <w:szCs w:val="22"/>
        </w:rPr>
        <w:t>Steven Pinker</w:t>
      </w:r>
      <w:r w:rsidRPr="008814D3">
        <w:rPr>
          <w:rStyle w:val="Strong"/>
          <w:rFonts w:ascii="Calibri" w:hAnsi="Calibri" w:cs="Calibri"/>
          <w:b w:val="0"/>
          <w:szCs w:val="22"/>
          <w:bdr w:val="none" w:sz="0" w:space="0" w:color="auto" w:frame="1"/>
          <w:shd w:val="clear" w:color="auto" w:fill="FFFFFF"/>
        </w:rPr>
        <w:t xml:space="preserve"> insists that there has been very real progress and change in the world. He is particularly dismissive of the concept of equality, referring to it as </w:t>
      </w:r>
      <w:r w:rsidR="00A67F5A" w:rsidRPr="008814D3">
        <w:rPr>
          <w:rStyle w:val="Strong"/>
          <w:rFonts w:ascii="Calibri" w:hAnsi="Calibri" w:cs="Calibri"/>
          <w:b w:val="0"/>
          <w:szCs w:val="22"/>
          <w:bdr w:val="none" w:sz="0" w:space="0" w:color="auto" w:frame="1"/>
          <w:shd w:val="clear" w:color="auto" w:fill="FFFFFF"/>
        </w:rPr>
        <w:t>‘</w:t>
      </w:r>
      <w:r w:rsidRPr="008814D3">
        <w:rPr>
          <w:rStyle w:val="Strong"/>
          <w:rFonts w:ascii="Calibri" w:hAnsi="Calibri" w:cs="Calibri"/>
          <w:b w:val="0"/>
          <w:szCs w:val="22"/>
          <w:bdr w:val="none" w:sz="0" w:space="0" w:color="auto" w:frame="1"/>
          <w:shd w:val="clear" w:color="auto" w:fill="FFFFFF"/>
        </w:rPr>
        <w:t>spiteful envy</w:t>
      </w:r>
      <w:r w:rsidR="00A67F5A" w:rsidRPr="008814D3">
        <w:rPr>
          <w:rStyle w:val="Strong"/>
          <w:rFonts w:ascii="Calibri" w:hAnsi="Calibri" w:cs="Calibri"/>
          <w:b w:val="0"/>
          <w:szCs w:val="22"/>
          <w:bdr w:val="none" w:sz="0" w:space="0" w:color="auto" w:frame="1"/>
          <w:shd w:val="clear" w:color="auto" w:fill="FFFFFF"/>
        </w:rPr>
        <w:t>’</w:t>
      </w:r>
      <w:r w:rsidRPr="008814D3">
        <w:rPr>
          <w:rStyle w:val="Strong"/>
          <w:rFonts w:ascii="Calibri" w:hAnsi="Calibri" w:cs="Calibri"/>
          <w:b w:val="0"/>
          <w:szCs w:val="22"/>
          <w:bdr w:val="none" w:sz="0" w:space="0" w:color="auto" w:frame="1"/>
          <w:shd w:val="clear" w:color="auto" w:fill="FFFFFF"/>
        </w:rPr>
        <w:t xml:space="preserve"> (Pinker, 2018, p.</w:t>
      </w:r>
      <w:r w:rsidR="00A67F5A" w:rsidRPr="008814D3">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 xml:space="preserve">98). He suggests that inequality is frequently confused with unfairness, and that most people are unconcerned by inequality, and more concerned </w:t>
      </w:r>
      <w:r w:rsidRPr="008814D3">
        <w:rPr>
          <w:rStyle w:val="Strong"/>
          <w:rFonts w:ascii="Calibri" w:hAnsi="Calibri" w:cs="Calibri"/>
          <w:b w:val="0"/>
          <w:szCs w:val="22"/>
          <w:bdr w:val="none" w:sz="0" w:space="0" w:color="auto" w:frame="1"/>
          <w:shd w:val="clear" w:color="auto" w:fill="FFFFFF"/>
        </w:rPr>
        <w:lastRenderedPageBreak/>
        <w:t>with ‘fairness’.</w:t>
      </w:r>
      <w:r w:rsidR="00CA0AEB">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 xml:space="preserve">Pinker cites a study that suggests </w:t>
      </w:r>
      <w:r w:rsidR="00A67F5A" w:rsidRPr="008814D3">
        <w:rPr>
          <w:rStyle w:val="Strong"/>
          <w:rFonts w:ascii="Calibri" w:hAnsi="Calibri" w:cs="Calibri"/>
          <w:b w:val="0"/>
          <w:szCs w:val="22"/>
          <w:bdr w:val="none" w:sz="0" w:space="0" w:color="auto" w:frame="1"/>
          <w:shd w:val="clear" w:color="auto" w:fill="FFFFFF"/>
        </w:rPr>
        <w:t>‘</w:t>
      </w:r>
      <w:r w:rsidRPr="008814D3">
        <w:rPr>
          <w:rStyle w:val="Strong"/>
          <w:rFonts w:ascii="Calibri" w:hAnsi="Calibri" w:cs="Calibri"/>
          <w:b w:val="0"/>
          <w:szCs w:val="22"/>
          <w:bdr w:val="none" w:sz="0" w:space="0" w:color="auto" w:frame="1"/>
          <w:shd w:val="clear" w:color="auto" w:fill="FFFFFF"/>
        </w:rPr>
        <w:t>there is no evidence so far that children or adults possess any general aversion to inequality</w:t>
      </w:r>
      <w:r w:rsidR="00A67F5A" w:rsidRPr="008814D3">
        <w:rPr>
          <w:rStyle w:val="Strong"/>
          <w:rFonts w:ascii="Calibri" w:hAnsi="Calibri" w:cs="Calibri"/>
          <w:b w:val="0"/>
          <w:szCs w:val="22"/>
          <w:bdr w:val="none" w:sz="0" w:space="0" w:color="auto" w:frame="1"/>
          <w:shd w:val="clear" w:color="auto" w:fill="FFFFFF"/>
        </w:rPr>
        <w:t>’</w:t>
      </w:r>
      <w:r w:rsidRPr="008814D3">
        <w:rPr>
          <w:rStyle w:val="Strong"/>
          <w:rFonts w:ascii="Calibri" w:hAnsi="Calibri" w:cs="Calibri"/>
          <w:b w:val="0"/>
          <w:szCs w:val="22"/>
          <w:bdr w:val="none" w:sz="0" w:space="0" w:color="auto" w:frame="1"/>
          <w:shd w:val="clear" w:color="auto" w:fill="FFFFFF"/>
        </w:rPr>
        <w:t xml:space="preserve"> (</w:t>
      </w:r>
      <w:proofErr w:type="spellStart"/>
      <w:r w:rsidRPr="008814D3">
        <w:rPr>
          <w:rStyle w:val="Strong"/>
          <w:rFonts w:ascii="Calibri" w:hAnsi="Calibri" w:cs="Calibri"/>
          <w:b w:val="0"/>
          <w:szCs w:val="22"/>
          <w:bdr w:val="none" w:sz="0" w:space="0" w:color="auto" w:frame="1"/>
          <w:shd w:val="clear" w:color="auto" w:fill="FFFFFF"/>
        </w:rPr>
        <w:t>Starmans</w:t>
      </w:r>
      <w:proofErr w:type="spellEnd"/>
      <w:r w:rsidRPr="008814D3">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i/>
          <w:szCs w:val="22"/>
          <w:bdr w:val="none" w:sz="0" w:space="0" w:color="auto" w:frame="1"/>
          <w:shd w:val="clear" w:color="auto" w:fill="FFFFFF"/>
        </w:rPr>
        <w:t>et al.,</w:t>
      </w:r>
      <w:r w:rsidRPr="008814D3">
        <w:rPr>
          <w:rStyle w:val="Strong"/>
          <w:rFonts w:ascii="Calibri" w:hAnsi="Calibri" w:cs="Calibri"/>
          <w:b w:val="0"/>
          <w:szCs w:val="22"/>
          <w:bdr w:val="none" w:sz="0" w:space="0" w:color="auto" w:frame="1"/>
          <w:shd w:val="clear" w:color="auto" w:fill="FFFFFF"/>
        </w:rPr>
        <w:t xml:space="preserve"> 2017, p.</w:t>
      </w:r>
      <w:r w:rsidR="00A67F5A" w:rsidRPr="008814D3">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5).</w:t>
      </w:r>
      <w:r w:rsidR="00CA0AEB">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 xml:space="preserve">But this study </w:t>
      </w:r>
      <w:r w:rsidR="00093E67" w:rsidRPr="008814D3">
        <w:rPr>
          <w:rStyle w:val="Strong"/>
          <w:rFonts w:ascii="Calibri" w:hAnsi="Calibri" w:cs="Calibri"/>
          <w:b w:val="0"/>
          <w:szCs w:val="22"/>
          <w:bdr w:val="none" w:sz="0" w:space="0" w:color="auto" w:frame="1"/>
          <w:shd w:val="clear" w:color="auto" w:fill="FFFFFF"/>
        </w:rPr>
        <w:t xml:space="preserve">firstly </w:t>
      </w:r>
      <w:r w:rsidR="00EB2254" w:rsidRPr="008814D3">
        <w:rPr>
          <w:rStyle w:val="Strong"/>
          <w:rFonts w:ascii="Calibri" w:hAnsi="Calibri" w:cs="Calibri"/>
          <w:b w:val="0"/>
          <w:szCs w:val="22"/>
          <w:bdr w:val="none" w:sz="0" w:space="0" w:color="auto" w:frame="1"/>
          <w:shd w:val="clear" w:color="auto" w:fill="FFFFFF"/>
        </w:rPr>
        <w:t xml:space="preserve">shows </w:t>
      </w:r>
      <w:r w:rsidRPr="008814D3">
        <w:rPr>
          <w:rStyle w:val="Strong"/>
          <w:rFonts w:ascii="Calibri" w:hAnsi="Calibri" w:cs="Calibri"/>
          <w:b w:val="0"/>
          <w:szCs w:val="22"/>
          <w:bdr w:val="none" w:sz="0" w:space="0" w:color="auto" w:frame="1"/>
          <w:shd w:val="clear" w:color="auto" w:fill="FFFFFF"/>
        </w:rPr>
        <w:t>that people generally are unaware of the scale of inequality, and secondly assumes a context in which fairness is broadly constructed using Rawl</w:t>
      </w:r>
      <w:r w:rsidR="00093E67">
        <w:rPr>
          <w:rStyle w:val="Strong"/>
          <w:rFonts w:ascii="Calibri" w:hAnsi="Calibri" w:cs="Calibri"/>
          <w:b w:val="0"/>
          <w:szCs w:val="22"/>
          <w:bdr w:val="none" w:sz="0" w:space="0" w:color="auto" w:frame="1"/>
          <w:shd w:val="clear" w:color="auto" w:fill="FFFFFF"/>
        </w:rPr>
        <w:t>s</w:t>
      </w:r>
      <w:r w:rsidRPr="008814D3">
        <w:rPr>
          <w:rStyle w:val="Strong"/>
          <w:rFonts w:ascii="Calibri" w:hAnsi="Calibri" w:cs="Calibri"/>
          <w:b w:val="0"/>
          <w:szCs w:val="22"/>
          <w:bdr w:val="none" w:sz="0" w:space="0" w:color="auto" w:frame="1"/>
          <w:shd w:val="clear" w:color="auto" w:fill="FFFFFF"/>
        </w:rPr>
        <w:t>-like understandings of equity.</w:t>
      </w:r>
      <w:r w:rsidR="00CA0AEB">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For example, another study of American adults showed that, given a choice between three distributions (two based on real, but unidentified wealth distributions, the third based on absolute equality) and asked which country they would prefer to live in if they were be randomly assigned to a distribution, 90 per cent of Americans would wish to live in a more equitable state than the USA</w:t>
      </w:r>
      <w:r w:rsidR="00CA0AEB">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(Norton and Arely</w:t>
      </w:r>
      <w:r w:rsidR="00CA0AEB">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 xml:space="preserve">2011). When asked to estimate the actual distribution of wealth in the United States, they thought it dramatically narrower than is actually the case, and they said they would prefer an even more equal distribution than the one they erroneously believe exists. The responses were broadly similar for women and men, Republican and Democrat supporters, and by income group. </w:t>
      </w:r>
    </w:p>
    <w:p w14:paraId="0A0ABF8C" w14:textId="77777777" w:rsidR="005F3433" w:rsidRPr="008814D3" w:rsidRDefault="005F3433" w:rsidP="005F3433">
      <w:pPr>
        <w:shd w:val="clear" w:color="auto" w:fill="FFFFFF"/>
        <w:rPr>
          <w:rStyle w:val="Strong"/>
          <w:rFonts w:ascii="Calibri" w:hAnsi="Calibri" w:cs="Calibri"/>
          <w:b w:val="0"/>
          <w:szCs w:val="22"/>
          <w:bdr w:val="none" w:sz="0" w:space="0" w:color="auto" w:frame="1"/>
          <w:shd w:val="clear" w:color="auto" w:fill="FFFFFF"/>
        </w:rPr>
      </w:pPr>
    </w:p>
    <w:p w14:paraId="5963050C" w14:textId="0D1B46C6" w:rsidR="005F3433" w:rsidRPr="008814D3" w:rsidRDefault="005F3433" w:rsidP="005F3433">
      <w:pPr>
        <w:shd w:val="clear" w:color="auto" w:fill="FFFFFF"/>
        <w:rPr>
          <w:rFonts w:ascii="Calibri" w:hAnsi="Calibri" w:cs="Calibri"/>
          <w:szCs w:val="22"/>
        </w:rPr>
      </w:pPr>
      <w:r w:rsidRPr="008814D3">
        <w:rPr>
          <w:rStyle w:val="Strong"/>
          <w:rFonts w:ascii="Calibri" w:hAnsi="Calibri" w:cs="Calibri"/>
          <w:b w:val="0"/>
          <w:szCs w:val="22"/>
          <w:bdr w:val="none" w:sz="0" w:space="0" w:color="auto" w:frame="1"/>
          <w:shd w:val="clear" w:color="auto" w:fill="FFFFFF"/>
        </w:rPr>
        <w:t>Inequalities matter even more when they correlate with particular groups. The examples used above relate mostly to socioeconomic class; but there are also inequalities in income,</w:t>
      </w:r>
      <w:r w:rsidR="00CA0AEB">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wealth, power and influence between men and women, those with disabilities and those without, and members of different ethnic groups.</w:t>
      </w:r>
      <w:r w:rsidR="00CA0AEB">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When there are inequalities between such groups – in competenc</w:t>
      </w:r>
      <w:r w:rsidR="00DA58AA">
        <w:rPr>
          <w:rStyle w:val="Strong"/>
          <w:rFonts w:ascii="Calibri" w:hAnsi="Calibri" w:cs="Calibri"/>
          <w:b w:val="0"/>
          <w:szCs w:val="22"/>
          <w:bdr w:val="none" w:sz="0" w:space="0" w:color="auto" w:frame="1"/>
          <w:shd w:val="clear" w:color="auto" w:fill="FFFFFF"/>
        </w:rPr>
        <w:t>ies or</w:t>
      </w:r>
      <w:r w:rsidR="008F6B15">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educational attainment, as much as in income and wealth – then there are a consequential range of invidious consequences, as shown in the work of Richard Wilkinson and Kate Pickett (2009</w:t>
      </w:r>
      <w:r w:rsidR="006A7C6B">
        <w:rPr>
          <w:rStyle w:val="Strong"/>
          <w:rFonts w:ascii="Calibri" w:hAnsi="Calibri" w:cs="Calibri"/>
          <w:b w:val="0"/>
          <w:szCs w:val="22"/>
          <w:bdr w:val="none" w:sz="0" w:space="0" w:color="auto" w:frame="1"/>
          <w:shd w:val="clear" w:color="auto" w:fill="FFFFFF"/>
        </w:rPr>
        <w:t>,</w:t>
      </w:r>
      <w:r w:rsidR="00145188" w:rsidRPr="008814D3">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2018).</w:t>
      </w:r>
      <w:r w:rsidR="00CA0AEB">
        <w:rPr>
          <w:rStyle w:val="Strong"/>
          <w:rFonts w:ascii="Calibri" w:hAnsi="Calibri" w:cs="Calibri"/>
          <w:b w:val="0"/>
          <w:szCs w:val="22"/>
          <w:bdr w:val="none" w:sz="0" w:space="0" w:color="auto" w:frame="1"/>
          <w:shd w:val="clear" w:color="auto" w:fill="FFFFFF"/>
        </w:rPr>
        <w:t xml:space="preserve"> </w:t>
      </w:r>
      <w:r w:rsidRPr="008814D3">
        <w:rPr>
          <w:rStyle w:val="Strong"/>
          <w:rFonts w:ascii="Calibri" w:hAnsi="Calibri" w:cs="Calibri"/>
          <w:b w:val="0"/>
          <w:szCs w:val="22"/>
          <w:bdr w:val="none" w:sz="0" w:space="0" w:color="auto" w:frame="1"/>
          <w:shd w:val="clear" w:color="auto" w:fill="FFFFFF"/>
        </w:rPr>
        <w:t xml:space="preserve">More unequal societies (countries, even different </w:t>
      </w:r>
      <w:r w:rsidR="00EB2254">
        <w:rPr>
          <w:rStyle w:val="Strong"/>
          <w:rFonts w:ascii="Calibri" w:hAnsi="Calibri" w:cs="Calibri"/>
          <w:b w:val="0"/>
          <w:szCs w:val="22"/>
          <w:bdr w:val="none" w:sz="0" w:space="0" w:color="auto" w:frame="1"/>
          <w:shd w:val="clear" w:color="auto" w:fill="FFFFFF"/>
        </w:rPr>
        <w:t>s</w:t>
      </w:r>
      <w:r w:rsidRPr="008814D3">
        <w:rPr>
          <w:rStyle w:val="Strong"/>
          <w:rFonts w:ascii="Calibri" w:hAnsi="Calibri" w:cs="Calibri"/>
          <w:b w:val="0"/>
          <w:szCs w:val="22"/>
          <w:bdr w:val="none" w:sz="0" w:space="0" w:color="auto" w:frame="1"/>
          <w:shd w:val="clear" w:color="auto" w:fill="FFFFFF"/>
        </w:rPr>
        <w:t>tates in the USA) have greater levels of illness, premature death, social discontent, violence, and social immobility) than more equitable societies, and the same is true for groups with a society.</w:t>
      </w:r>
      <w:r w:rsidR="00CA0AEB">
        <w:rPr>
          <w:rStyle w:val="Strong"/>
          <w:rFonts w:ascii="Calibri" w:hAnsi="Calibri" w:cs="Calibri"/>
          <w:b w:val="0"/>
          <w:szCs w:val="22"/>
          <w:bdr w:val="none" w:sz="0" w:space="0" w:color="auto" w:frame="1"/>
          <w:shd w:val="clear" w:color="auto" w:fill="FFFFFF"/>
        </w:rPr>
        <w:t xml:space="preserve"> </w:t>
      </w:r>
    </w:p>
    <w:p w14:paraId="46C57720" w14:textId="77777777" w:rsidR="005F3433" w:rsidRPr="008814D3" w:rsidRDefault="005F3433" w:rsidP="005F3433">
      <w:pPr>
        <w:shd w:val="clear" w:color="auto" w:fill="FFFFFF"/>
        <w:rPr>
          <w:rFonts w:ascii="Calibri" w:hAnsi="Calibri" w:cs="Calibri"/>
          <w:szCs w:val="22"/>
        </w:rPr>
      </w:pPr>
    </w:p>
    <w:p w14:paraId="2077D155" w14:textId="55481D73"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Ides Nicaise (2000) has suggested that educational inequalities arise from two forms of failure. Those ‘on the demand side’ occur when the socioeconomic characteristics of a group</w:t>
      </w:r>
      <w:r w:rsidR="00A81520">
        <w:rPr>
          <w:rFonts w:ascii="Calibri" w:hAnsi="Calibri" w:cs="Calibri"/>
          <w:szCs w:val="22"/>
        </w:rPr>
        <w:t xml:space="preserve"> </w:t>
      </w:r>
      <w:r w:rsidRPr="008814D3">
        <w:rPr>
          <w:rFonts w:ascii="Calibri" w:hAnsi="Calibri" w:cs="Calibri"/>
          <w:szCs w:val="22"/>
        </w:rPr>
        <w:t>lead to individuals in these groups not taking up educational provision.</w:t>
      </w:r>
      <w:r w:rsidR="00CA0AEB">
        <w:rPr>
          <w:rFonts w:ascii="Calibri" w:hAnsi="Calibri" w:cs="Calibri"/>
          <w:szCs w:val="22"/>
        </w:rPr>
        <w:t xml:space="preserve"> </w:t>
      </w:r>
      <w:r w:rsidRPr="008814D3">
        <w:rPr>
          <w:rFonts w:ascii="Calibri" w:hAnsi="Calibri" w:cs="Calibri"/>
          <w:szCs w:val="22"/>
        </w:rPr>
        <w:t>Failures on ‘the supply side’ happen when educational policies and practices disadvantage members of a group: this includes both institutional prejudice against these groups and the inability of institutions</w:t>
      </w:r>
      <w:r w:rsidR="009F0F91">
        <w:rPr>
          <w:rFonts w:ascii="Calibri" w:hAnsi="Calibri" w:cs="Calibri"/>
          <w:szCs w:val="22"/>
        </w:rPr>
        <w:t xml:space="preserve"> </w:t>
      </w:r>
      <w:r w:rsidRPr="008814D3">
        <w:rPr>
          <w:rFonts w:ascii="Calibri" w:hAnsi="Calibri" w:cs="Calibri"/>
          <w:szCs w:val="22"/>
        </w:rPr>
        <w:t>to actively respond to the specific and different needs of particular groups. Both are structural failings; and each interacts with the other. If the ‘supply side’ institutions cannot adequately support a group, they create a situation in which members of the group lower their aspirations and expectations, and make fewer demands on the educational system. This interaction creates self-sustaining failure.</w:t>
      </w:r>
    </w:p>
    <w:p w14:paraId="2FA66107" w14:textId="77777777"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 xml:space="preserve"> </w:t>
      </w:r>
    </w:p>
    <w:p w14:paraId="1CE51765" w14:textId="6A76C370" w:rsidR="005F3433" w:rsidRPr="008814D3" w:rsidRDefault="005F3433" w:rsidP="00892F5E">
      <w:pPr>
        <w:rPr>
          <w:rFonts w:ascii="Calibri" w:hAnsi="Calibri" w:cs="Calibri"/>
          <w:szCs w:val="22"/>
        </w:rPr>
      </w:pPr>
      <w:r w:rsidRPr="008814D3">
        <w:rPr>
          <w:rFonts w:ascii="Calibri" w:hAnsi="Calibri" w:cs="Calibri"/>
          <w:szCs w:val="22"/>
        </w:rPr>
        <w:t xml:space="preserve">Many </w:t>
      </w:r>
      <w:r w:rsidR="000E4DFA" w:rsidRPr="008814D3">
        <w:rPr>
          <w:rFonts w:ascii="Calibri" w:hAnsi="Calibri" w:cs="Calibri"/>
          <w:szCs w:val="22"/>
        </w:rPr>
        <w:t>students</w:t>
      </w:r>
      <w:r w:rsidR="000E4DFA">
        <w:rPr>
          <w:rFonts w:ascii="Calibri" w:hAnsi="Calibri" w:cs="Calibri"/>
          <w:szCs w:val="22"/>
        </w:rPr>
        <w:t>,</w:t>
      </w:r>
      <w:r w:rsidR="008F6B15">
        <w:rPr>
          <w:rFonts w:ascii="Calibri" w:hAnsi="Calibri" w:cs="Calibri"/>
          <w:szCs w:val="22"/>
        </w:rPr>
        <w:t xml:space="preserve"> </w:t>
      </w:r>
      <w:r w:rsidRPr="008814D3">
        <w:rPr>
          <w:rFonts w:ascii="Calibri" w:hAnsi="Calibri" w:cs="Calibri"/>
          <w:szCs w:val="22"/>
        </w:rPr>
        <w:t>teachers, schools</w:t>
      </w:r>
      <w:r w:rsidR="00FC54E6">
        <w:rPr>
          <w:rFonts w:ascii="Calibri" w:hAnsi="Calibri" w:cs="Calibri"/>
          <w:szCs w:val="22"/>
        </w:rPr>
        <w:t xml:space="preserve"> and</w:t>
      </w:r>
      <w:r w:rsidRPr="008814D3">
        <w:rPr>
          <w:rFonts w:ascii="Calibri" w:hAnsi="Calibri" w:cs="Calibri"/>
          <w:szCs w:val="22"/>
        </w:rPr>
        <w:t xml:space="preserve"> governments have low expectations of groups that do not, on average, do well at school, and such groups need to be supported to expect that they can achieve. </w:t>
      </w:r>
    </w:p>
    <w:p w14:paraId="04A2AE1B" w14:textId="77777777" w:rsidR="00892F5E" w:rsidRPr="008814D3" w:rsidRDefault="00892F5E" w:rsidP="00892F5E">
      <w:pPr>
        <w:pStyle w:val="BodyText"/>
        <w:rPr>
          <w:rFonts w:ascii="Calibri" w:hAnsi="Calibri" w:cs="Calibri"/>
          <w:color w:val="auto"/>
          <w:sz w:val="22"/>
          <w:szCs w:val="22"/>
        </w:rPr>
      </w:pPr>
    </w:p>
    <w:p w14:paraId="1BBF4CF8" w14:textId="76FA8BEA" w:rsidR="005F3433" w:rsidRPr="008814D3" w:rsidRDefault="005F3433" w:rsidP="00892F5E">
      <w:pPr>
        <w:pStyle w:val="BodyText"/>
        <w:rPr>
          <w:rFonts w:ascii="Calibri" w:hAnsi="Calibri" w:cs="Calibri"/>
          <w:color w:val="auto"/>
          <w:sz w:val="22"/>
          <w:szCs w:val="22"/>
        </w:rPr>
      </w:pPr>
      <w:r w:rsidRPr="008814D3">
        <w:rPr>
          <w:rFonts w:ascii="Calibri" w:hAnsi="Calibri" w:cs="Calibri"/>
          <w:color w:val="auto"/>
          <w:sz w:val="22"/>
          <w:szCs w:val="22"/>
        </w:rPr>
        <w:t>In most educational settings, those responsible for educational provision also have different expectations of how different groups will perform, and make decisions about what level of performance to expect based on the student’s gender, ethnic origin, social class – or whatever distinguishing characteristic they believe may impact on attainment and potential (for an example of this, see Strand, 2012).</w:t>
      </w:r>
      <w:r w:rsidR="00CA0AEB">
        <w:rPr>
          <w:rFonts w:ascii="Calibri" w:hAnsi="Calibri" w:cs="Calibri"/>
          <w:color w:val="auto"/>
          <w:sz w:val="22"/>
          <w:szCs w:val="22"/>
        </w:rPr>
        <w:t xml:space="preserve"> </w:t>
      </w:r>
      <w:r w:rsidRPr="008814D3">
        <w:rPr>
          <w:rFonts w:ascii="Calibri" w:hAnsi="Calibri" w:cs="Calibri"/>
          <w:color w:val="auto"/>
          <w:sz w:val="22"/>
          <w:szCs w:val="22"/>
        </w:rPr>
        <w:t>Low teacher expectations of a group create the conditions in which attainment is low: low pupil expectations lead to underperformance.</w:t>
      </w:r>
      <w:r w:rsidR="00CA0AEB">
        <w:rPr>
          <w:rFonts w:ascii="Calibri" w:hAnsi="Calibri" w:cs="Calibri"/>
          <w:color w:val="auto"/>
          <w:sz w:val="22"/>
          <w:szCs w:val="22"/>
        </w:rPr>
        <w:t xml:space="preserve"> </w:t>
      </w:r>
      <w:r w:rsidRPr="008814D3">
        <w:rPr>
          <w:rFonts w:ascii="Calibri" w:hAnsi="Calibri" w:cs="Calibri"/>
          <w:color w:val="auto"/>
          <w:sz w:val="22"/>
          <w:szCs w:val="22"/>
        </w:rPr>
        <w:t>We need to tackle both supply and demand in order to achieve equitable outcomes</w:t>
      </w:r>
      <w:r w:rsidRPr="00001174">
        <w:rPr>
          <w:rFonts w:ascii="Calibri" w:hAnsi="Calibri" w:cs="Calibri"/>
          <w:color w:val="auto"/>
          <w:sz w:val="22"/>
          <w:szCs w:val="22"/>
        </w:rPr>
        <w:t xml:space="preserve">. </w:t>
      </w:r>
      <w:r w:rsidR="00331961" w:rsidRPr="00001174">
        <w:rPr>
          <w:rFonts w:ascii="Calibri" w:hAnsi="Calibri" w:cs="Calibri"/>
          <w:color w:val="auto"/>
          <w:sz w:val="22"/>
          <w:szCs w:val="22"/>
        </w:rPr>
        <w:t>Learners with low self-expectations perform less well.</w:t>
      </w:r>
      <w:r w:rsidR="00331961" w:rsidRPr="00001174">
        <w:rPr>
          <w:rStyle w:val="Strong"/>
          <w:rFonts w:ascii="Calibri" w:hAnsi="Calibri" w:cs="Calibri"/>
          <w:b w:val="0"/>
          <w:color w:val="auto"/>
          <w:sz w:val="22"/>
          <w:szCs w:val="22"/>
          <w:bdr w:val="none" w:sz="0" w:space="0" w:color="auto" w:frame="1"/>
          <w:shd w:val="clear" w:color="auto" w:fill="FFFFFF"/>
        </w:rPr>
        <w:t xml:space="preserve"> </w:t>
      </w:r>
      <w:r w:rsidR="00187559" w:rsidRPr="00001174">
        <w:rPr>
          <w:rStyle w:val="Strong"/>
          <w:rFonts w:ascii="Calibri" w:hAnsi="Calibri" w:cs="Calibri"/>
          <w:b w:val="0"/>
          <w:color w:val="auto"/>
          <w:sz w:val="22"/>
          <w:szCs w:val="22"/>
          <w:bdr w:val="none" w:sz="0" w:space="0" w:color="auto" w:frame="1"/>
          <w:shd w:val="clear" w:color="auto" w:fill="FFFFFF"/>
        </w:rPr>
        <w:t xml:space="preserve">As Young observed, those judged by the educational system not to have merit are </w:t>
      </w:r>
      <w:r w:rsidR="00187559" w:rsidRPr="00001174">
        <w:rPr>
          <w:rFonts w:ascii="Calibri" w:hAnsi="Calibri" w:cs="Calibri"/>
          <w:color w:val="auto"/>
          <w:sz w:val="22"/>
          <w:szCs w:val="22"/>
        </w:rPr>
        <w:t>‘easily demoralised by being looked down on so woundingly by people who have done well for themselves’ (Young, 2001).</w:t>
      </w:r>
      <w:r w:rsidR="00331961" w:rsidRPr="00001174">
        <w:rPr>
          <w:rFonts w:ascii="Calibri" w:hAnsi="Calibri" w:cs="Calibri"/>
          <w:color w:val="auto"/>
          <w:sz w:val="22"/>
          <w:szCs w:val="22"/>
        </w:rPr>
        <w:t xml:space="preserve"> </w:t>
      </w:r>
      <w:r w:rsidRPr="00331961">
        <w:rPr>
          <w:rFonts w:ascii="Calibri" w:hAnsi="Calibri" w:cs="Calibri"/>
          <w:color w:val="auto"/>
          <w:sz w:val="22"/>
          <w:szCs w:val="22"/>
        </w:rPr>
        <w:t>A</w:t>
      </w:r>
      <w:r w:rsidRPr="008814D3">
        <w:rPr>
          <w:rFonts w:ascii="Calibri" w:hAnsi="Calibri" w:cs="Calibri"/>
          <w:color w:val="auto"/>
          <w:sz w:val="22"/>
          <w:szCs w:val="22"/>
        </w:rPr>
        <w:t xml:space="preserve"> teaching profession that represents all in society might be a first step towards raising self-esteem (Ross, 2002, 2012). David </w:t>
      </w:r>
      <w:proofErr w:type="spellStart"/>
      <w:r w:rsidRPr="008814D3">
        <w:rPr>
          <w:rFonts w:ascii="Calibri" w:hAnsi="Calibri" w:cs="Calibri"/>
          <w:color w:val="auto"/>
          <w:sz w:val="22"/>
          <w:szCs w:val="22"/>
        </w:rPr>
        <w:t>Olusoga</w:t>
      </w:r>
      <w:proofErr w:type="spellEnd"/>
      <w:r w:rsidRPr="008814D3">
        <w:rPr>
          <w:rFonts w:ascii="Calibri" w:hAnsi="Calibri" w:cs="Calibri"/>
          <w:color w:val="auto"/>
          <w:sz w:val="22"/>
          <w:szCs w:val="22"/>
        </w:rPr>
        <w:t>, a distinguished historian and broadcaster, brought up in a working-class part of Newcastle, illustrates the point:</w:t>
      </w:r>
    </w:p>
    <w:p w14:paraId="7B2078DE" w14:textId="77777777" w:rsidR="00892F5E" w:rsidRPr="008814D3" w:rsidRDefault="00892F5E" w:rsidP="00892F5E">
      <w:pPr>
        <w:pStyle w:val="BodyText"/>
        <w:rPr>
          <w:rFonts w:ascii="Calibri" w:hAnsi="Calibri" w:cs="Calibri"/>
          <w:color w:val="auto"/>
          <w:sz w:val="22"/>
          <w:szCs w:val="22"/>
        </w:rPr>
      </w:pPr>
    </w:p>
    <w:p w14:paraId="14F88051" w14:textId="695DF5CB" w:rsidR="005F3433" w:rsidRPr="008814D3" w:rsidRDefault="005F3433" w:rsidP="00892F5E">
      <w:pPr>
        <w:pStyle w:val="BodyText"/>
        <w:ind w:left="720"/>
        <w:rPr>
          <w:rFonts w:ascii="Calibri" w:hAnsi="Calibri" w:cs="Calibri"/>
          <w:color w:val="auto"/>
          <w:sz w:val="22"/>
          <w:szCs w:val="22"/>
        </w:rPr>
      </w:pPr>
      <w:r w:rsidRPr="008814D3">
        <w:rPr>
          <w:rFonts w:ascii="Calibri" w:hAnsi="Calibri" w:cs="Calibri"/>
          <w:color w:val="auto"/>
          <w:sz w:val="22"/>
          <w:szCs w:val="22"/>
        </w:rPr>
        <w:t xml:space="preserve">I never had a black teacher or </w:t>
      </w:r>
      <w:proofErr w:type="gramStart"/>
      <w:r w:rsidRPr="008814D3">
        <w:rPr>
          <w:rFonts w:ascii="Calibri" w:hAnsi="Calibri" w:cs="Calibri"/>
          <w:color w:val="auto"/>
          <w:sz w:val="22"/>
          <w:szCs w:val="22"/>
        </w:rPr>
        <w:t>lecturer,</w:t>
      </w:r>
      <w:proofErr w:type="gramEnd"/>
      <w:r w:rsidRPr="008814D3">
        <w:rPr>
          <w:rFonts w:ascii="Calibri" w:hAnsi="Calibri" w:cs="Calibri"/>
          <w:color w:val="auto"/>
          <w:sz w:val="22"/>
          <w:szCs w:val="22"/>
        </w:rPr>
        <w:t xml:space="preserve"> I never once met a black British person who held any sort of professional or managerial role. And by the time I was a teenager in the 1980s, I had, </w:t>
      </w:r>
      <w:r w:rsidRPr="008814D3">
        <w:rPr>
          <w:rFonts w:ascii="Calibri" w:hAnsi="Calibri" w:cs="Calibri"/>
          <w:color w:val="auto"/>
          <w:sz w:val="22"/>
          <w:szCs w:val="22"/>
        </w:rPr>
        <w:lastRenderedPageBreak/>
        <w:t>through some process of societal osmosis, internalised the idea that black people didn’t, or perhaps couldn’t, do certain jobs or hold certain positions …</w:t>
      </w:r>
      <w:r w:rsidR="00CA0AEB">
        <w:rPr>
          <w:rFonts w:ascii="Calibri" w:hAnsi="Calibri" w:cs="Calibri"/>
          <w:color w:val="auto"/>
          <w:sz w:val="22"/>
          <w:szCs w:val="22"/>
        </w:rPr>
        <w:t xml:space="preserve"> </w:t>
      </w:r>
      <w:r w:rsidRPr="008814D3">
        <w:rPr>
          <w:rFonts w:ascii="Calibri" w:hAnsi="Calibri" w:cs="Calibri"/>
          <w:color w:val="auto"/>
          <w:sz w:val="22"/>
          <w:szCs w:val="22"/>
        </w:rPr>
        <w:t>That is how racism operates</w:t>
      </w:r>
      <w:r w:rsidR="004115CF" w:rsidRPr="008814D3">
        <w:rPr>
          <w:rFonts w:ascii="Calibri" w:hAnsi="Calibri" w:cs="Calibri"/>
          <w:color w:val="auto"/>
          <w:sz w:val="22"/>
          <w:szCs w:val="22"/>
        </w:rPr>
        <w:t>.</w:t>
      </w:r>
      <w:r w:rsidRPr="008814D3">
        <w:rPr>
          <w:rFonts w:ascii="Calibri" w:hAnsi="Calibri" w:cs="Calibri"/>
          <w:color w:val="auto"/>
          <w:sz w:val="22"/>
          <w:szCs w:val="22"/>
        </w:rPr>
        <w:t xml:space="preserve"> (</w:t>
      </w:r>
      <w:proofErr w:type="spellStart"/>
      <w:r w:rsidRPr="008814D3">
        <w:rPr>
          <w:rFonts w:ascii="Calibri" w:hAnsi="Calibri" w:cs="Calibri"/>
          <w:color w:val="auto"/>
          <w:sz w:val="22"/>
          <w:szCs w:val="22"/>
        </w:rPr>
        <w:t>Olusoga</w:t>
      </w:r>
      <w:proofErr w:type="spellEnd"/>
      <w:r w:rsidRPr="008814D3">
        <w:rPr>
          <w:rFonts w:ascii="Calibri" w:hAnsi="Calibri" w:cs="Calibri"/>
          <w:color w:val="auto"/>
          <w:sz w:val="22"/>
          <w:szCs w:val="22"/>
        </w:rPr>
        <w:t>, 2019)</w:t>
      </w:r>
    </w:p>
    <w:p w14:paraId="14D190C1" w14:textId="77777777" w:rsidR="004115CF" w:rsidRPr="008814D3" w:rsidRDefault="004115CF" w:rsidP="00892F5E">
      <w:pPr>
        <w:pStyle w:val="BodyText"/>
        <w:ind w:left="720"/>
        <w:rPr>
          <w:rFonts w:ascii="Calibri" w:hAnsi="Calibri" w:cs="Calibri"/>
          <w:color w:val="auto"/>
          <w:sz w:val="22"/>
          <w:szCs w:val="22"/>
        </w:rPr>
      </w:pPr>
    </w:p>
    <w:p w14:paraId="1C5F5C13" w14:textId="6AD846B0" w:rsidR="005F3433" w:rsidRPr="008814D3" w:rsidRDefault="005F3433" w:rsidP="00892F5E">
      <w:pPr>
        <w:rPr>
          <w:rStyle w:val="Strong"/>
          <w:rFonts w:ascii="Calibri" w:hAnsi="Calibri" w:cs="Calibri"/>
          <w:b w:val="0"/>
          <w:szCs w:val="22"/>
          <w:bdr w:val="none" w:sz="0" w:space="0" w:color="auto" w:frame="1"/>
          <w:shd w:val="clear" w:color="auto" w:fill="FFFFFF"/>
        </w:rPr>
      </w:pPr>
      <w:r w:rsidRPr="008814D3">
        <w:rPr>
          <w:rFonts w:ascii="Calibri" w:hAnsi="Calibri" w:cs="Calibri"/>
          <w:szCs w:val="22"/>
        </w:rPr>
        <w:t xml:space="preserve">It is the </w:t>
      </w:r>
      <w:r w:rsidRPr="008814D3">
        <w:rPr>
          <w:rFonts w:ascii="Calibri" w:hAnsi="Calibri" w:cs="Calibri"/>
          <w:i/>
          <w:iCs/>
          <w:szCs w:val="22"/>
        </w:rPr>
        <w:t xml:space="preserve">outcome </w:t>
      </w:r>
      <w:r w:rsidRPr="008814D3">
        <w:rPr>
          <w:rFonts w:ascii="Calibri" w:hAnsi="Calibri" w:cs="Calibri"/>
          <w:szCs w:val="22"/>
        </w:rPr>
        <w:t xml:space="preserve">of policy and practice that is significant, not the </w:t>
      </w:r>
      <w:r w:rsidRPr="008814D3">
        <w:rPr>
          <w:rFonts w:ascii="Calibri" w:hAnsi="Calibri" w:cs="Calibri"/>
          <w:i/>
          <w:iCs/>
          <w:szCs w:val="22"/>
        </w:rPr>
        <w:t>intention</w:t>
      </w:r>
      <w:r w:rsidRPr="008814D3">
        <w:rPr>
          <w:rFonts w:ascii="Calibri" w:hAnsi="Calibri" w:cs="Calibri"/>
          <w:szCs w:val="22"/>
        </w:rPr>
        <w:t>. That various groups suffer educational disadvantage, despite policy initiatives to counter this, suggests that whatever the intentions, educational systems institutionally discriminate against the disadvantaged. The term ‘educational institutional inequality’ might be used to identify the collective failure of an educational institution(s) to provide appropriate educational services for minority groups, social, cultural, linguistic, behavioural or other characteristics. Such policies amount to discrimination through unwitting prejudice, ignorance, thoughtlessness and stereotyping which result in the group as a whole achieving lower educational outcomes than the population as a whole (</w:t>
      </w:r>
      <w:r w:rsidR="008B2F69">
        <w:rPr>
          <w:rFonts w:ascii="Calibri" w:hAnsi="Calibri" w:cs="Calibri"/>
          <w:szCs w:val="22"/>
        </w:rPr>
        <w:t>C</w:t>
      </w:r>
      <w:r w:rsidR="008B2F69" w:rsidRPr="008814D3">
        <w:rPr>
          <w:rFonts w:ascii="Calibri" w:hAnsi="Calibri" w:cs="Calibri"/>
          <w:szCs w:val="22"/>
        </w:rPr>
        <w:t>hapter 13</w:t>
      </w:r>
      <w:r w:rsidR="008B2F69">
        <w:rPr>
          <w:rFonts w:ascii="Calibri" w:hAnsi="Calibri" w:cs="Calibri"/>
          <w:szCs w:val="22"/>
        </w:rPr>
        <w:t xml:space="preserve">, </w:t>
      </w:r>
      <w:proofErr w:type="spellStart"/>
      <w:r w:rsidRPr="008814D3">
        <w:rPr>
          <w:rFonts w:ascii="Calibri" w:hAnsi="Calibri" w:cs="Calibri"/>
          <w:szCs w:val="22"/>
        </w:rPr>
        <w:t>Hartsmar</w:t>
      </w:r>
      <w:proofErr w:type="spellEnd"/>
      <w:r w:rsidRPr="008814D3">
        <w:rPr>
          <w:rFonts w:ascii="Calibri" w:hAnsi="Calibri" w:cs="Calibri"/>
          <w:szCs w:val="22"/>
        </w:rPr>
        <w:t xml:space="preserve">, </w:t>
      </w:r>
      <w:proofErr w:type="spellStart"/>
      <w:r w:rsidRPr="008814D3">
        <w:rPr>
          <w:rFonts w:ascii="Calibri" w:hAnsi="Calibri" w:cs="Calibri"/>
          <w:szCs w:val="22"/>
        </w:rPr>
        <w:t>Leathwood</w:t>
      </w:r>
      <w:proofErr w:type="spellEnd"/>
      <w:r w:rsidRPr="008814D3">
        <w:rPr>
          <w:rFonts w:ascii="Calibri" w:hAnsi="Calibri" w:cs="Calibri"/>
          <w:szCs w:val="22"/>
        </w:rPr>
        <w:t xml:space="preserve"> </w:t>
      </w:r>
      <w:r w:rsidRPr="008814D3">
        <w:rPr>
          <w:rFonts w:ascii="Calibri" w:hAnsi="Calibri" w:cs="Calibri"/>
          <w:i/>
          <w:iCs/>
          <w:szCs w:val="22"/>
        </w:rPr>
        <w:t>et al</w:t>
      </w:r>
      <w:r w:rsidR="00972820" w:rsidRPr="008814D3">
        <w:rPr>
          <w:rFonts w:ascii="Calibri" w:hAnsi="Calibri" w:cs="Calibri"/>
          <w:i/>
          <w:iCs/>
          <w:szCs w:val="22"/>
        </w:rPr>
        <w:t>.</w:t>
      </w:r>
      <w:r w:rsidR="00972820" w:rsidRPr="008814D3">
        <w:rPr>
          <w:rFonts w:ascii="Calibri" w:hAnsi="Calibri" w:cs="Calibri"/>
          <w:szCs w:val="22"/>
        </w:rPr>
        <w:t>,</w:t>
      </w:r>
      <w:r w:rsidR="00CA0AEB">
        <w:rPr>
          <w:rFonts w:ascii="Calibri" w:hAnsi="Calibri" w:cs="Calibri"/>
          <w:szCs w:val="22"/>
        </w:rPr>
        <w:t xml:space="preserve"> </w:t>
      </w:r>
      <w:r w:rsidR="00F6599E" w:rsidRPr="008814D3">
        <w:rPr>
          <w:rFonts w:ascii="Calibri" w:hAnsi="Calibri" w:cs="Calibri"/>
          <w:szCs w:val="22"/>
        </w:rPr>
        <w:t>2020</w:t>
      </w:r>
      <w:r w:rsidRPr="008814D3">
        <w:rPr>
          <w:rFonts w:ascii="Calibri" w:hAnsi="Calibri" w:cs="Calibri"/>
          <w:szCs w:val="22"/>
        </w:rPr>
        <w:t xml:space="preserve">). </w:t>
      </w:r>
    </w:p>
    <w:p w14:paraId="115C04AB" w14:textId="77777777" w:rsidR="005F3433" w:rsidRPr="008814D3" w:rsidRDefault="005F3433" w:rsidP="00892F5E">
      <w:pPr>
        <w:shd w:val="clear" w:color="auto" w:fill="FFFFFF"/>
        <w:rPr>
          <w:rFonts w:ascii="Calibri" w:hAnsi="Calibri" w:cs="Calibri"/>
          <w:szCs w:val="22"/>
        </w:rPr>
      </w:pPr>
    </w:p>
    <w:p w14:paraId="122BDDB4" w14:textId="16B6E5A8" w:rsidR="005F3433" w:rsidRPr="008814D3" w:rsidRDefault="005F3433" w:rsidP="00892F5E">
      <w:pPr>
        <w:shd w:val="clear" w:color="auto" w:fill="FFFFFF"/>
        <w:rPr>
          <w:rFonts w:ascii="Calibri" w:hAnsi="Calibri" w:cs="Calibri"/>
          <w:szCs w:val="22"/>
        </w:rPr>
      </w:pPr>
      <w:r w:rsidRPr="008814D3">
        <w:rPr>
          <w:rFonts w:ascii="Calibri" w:hAnsi="Calibri" w:cs="Calibri"/>
          <w:szCs w:val="22"/>
        </w:rPr>
        <w:t>Concerns and ideas such as these about the nature and purpose of educational research, and its potential role in moving towards a greater sense of social justice and the need for striving towards equality of outcomes have permeated most of our work, collectively and individually. But they raise particular issues in the contemporary world: how do they equate with current conceptions of educational research as a science, and how to they relate to various understandings of what might constitute ‘the public good’ and how and by whom this might be determined?</w:t>
      </w:r>
      <w:r w:rsidR="00CA0AEB">
        <w:rPr>
          <w:rFonts w:ascii="Calibri" w:hAnsi="Calibri" w:cs="Calibri"/>
          <w:szCs w:val="22"/>
        </w:rPr>
        <w:t xml:space="preserve"> </w:t>
      </w:r>
      <w:r w:rsidRPr="008814D3">
        <w:rPr>
          <w:rFonts w:ascii="Calibri" w:hAnsi="Calibri" w:cs="Calibri"/>
          <w:szCs w:val="22"/>
        </w:rPr>
        <w:t>It is to these concerns that we turn in the following two sections.</w:t>
      </w:r>
    </w:p>
    <w:p w14:paraId="37E5041B" w14:textId="20B8937F" w:rsidR="005F3433" w:rsidRDefault="005F3433" w:rsidP="00892F5E">
      <w:pPr>
        <w:shd w:val="clear" w:color="auto" w:fill="FFFFFF"/>
        <w:rPr>
          <w:rFonts w:ascii="Calibri" w:hAnsi="Calibri" w:cs="Calibri"/>
          <w:szCs w:val="22"/>
        </w:rPr>
      </w:pPr>
    </w:p>
    <w:p w14:paraId="63FF3EEF" w14:textId="77777777" w:rsidR="008F6B15" w:rsidRPr="008814D3" w:rsidRDefault="008F6B15" w:rsidP="00892F5E">
      <w:pPr>
        <w:shd w:val="clear" w:color="auto" w:fill="FFFFFF"/>
        <w:rPr>
          <w:rFonts w:ascii="Calibri" w:hAnsi="Calibri" w:cs="Calibri"/>
          <w:szCs w:val="22"/>
        </w:rPr>
      </w:pPr>
    </w:p>
    <w:p w14:paraId="67DB3EBF" w14:textId="525EA10D" w:rsidR="005F3433" w:rsidRPr="009324F1" w:rsidRDefault="009324F1" w:rsidP="009324F1">
      <w:pPr>
        <w:pStyle w:val="Heading2"/>
      </w:pPr>
      <w:r w:rsidRPr="009324F1">
        <w:t>Educational science</w:t>
      </w:r>
      <w:r w:rsidRPr="009324F1" w:rsidDel="00772277">
        <w:t xml:space="preserve"> </w:t>
      </w:r>
      <w:r w:rsidRPr="009324F1">
        <w:t>in the context of social justice and equity</w:t>
      </w:r>
    </w:p>
    <w:p w14:paraId="61031567" w14:textId="77777777" w:rsidR="005F3433" w:rsidRPr="008814D3" w:rsidRDefault="005F3433" w:rsidP="005F3433">
      <w:pPr>
        <w:shd w:val="clear" w:color="auto" w:fill="FFFFFF"/>
        <w:rPr>
          <w:rFonts w:ascii="Calibri" w:hAnsi="Calibri" w:cs="Calibri"/>
          <w:szCs w:val="22"/>
        </w:rPr>
      </w:pPr>
    </w:p>
    <w:p w14:paraId="4E58FF76" w14:textId="4306DBC2"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 xml:space="preserve">Most of the authors of this volume have worked within postmodern and </w:t>
      </w:r>
      <w:proofErr w:type="spellStart"/>
      <w:r w:rsidRPr="008814D3">
        <w:rPr>
          <w:rFonts w:ascii="Calibri" w:hAnsi="Calibri" w:cs="Calibri"/>
          <w:szCs w:val="22"/>
        </w:rPr>
        <w:t>poststructural</w:t>
      </w:r>
      <w:proofErr w:type="spellEnd"/>
      <w:r w:rsidRPr="008814D3">
        <w:rPr>
          <w:rFonts w:ascii="Calibri" w:hAnsi="Calibri" w:cs="Calibri"/>
          <w:szCs w:val="22"/>
        </w:rPr>
        <w:t xml:space="preserve"> theory in our research. This creates particular issues when researching policy if one has the ambition of informing and effecting the practice of policy</w:t>
      </w:r>
      <w:r w:rsidR="007A7C27">
        <w:rPr>
          <w:rFonts w:ascii="Calibri" w:hAnsi="Calibri" w:cs="Calibri"/>
          <w:szCs w:val="22"/>
        </w:rPr>
        <w:t xml:space="preserve"> </w:t>
      </w:r>
      <w:r w:rsidRPr="008814D3">
        <w:rPr>
          <w:rFonts w:ascii="Calibri" w:hAnsi="Calibri" w:cs="Calibri"/>
          <w:szCs w:val="22"/>
        </w:rPr>
        <w:t>making.</w:t>
      </w:r>
      <w:r w:rsidR="00CA0AEB">
        <w:rPr>
          <w:rFonts w:ascii="Calibri" w:hAnsi="Calibri" w:cs="Calibri"/>
          <w:szCs w:val="22"/>
        </w:rPr>
        <w:t xml:space="preserve"> </w:t>
      </w:r>
      <w:r w:rsidRPr="008814D3">
        <w:rPr>
          <w:rFonts w:ascii="Calibri" w:hAnsi="Calibri" w:cs="Calibri"/>
          <w:szCs w:val="22"/>
        </w:rPr>
        <w:t>Policy makers want to know definitive answers: what works, and how can policy achieve this.</w:t>
      </w:r>
      <w:r w:rsidR="00CA0AEB">
        <w:rPr>
          <w:rFonts w:ascii="Calibri" w:hAnsi="Calibri" w:cs="Calibri"/>
          <w:szCs w:val="22"/>
        </w:rPr>
        <w:t xml:space="preserve"> </w:t>
      </w:r>
      <w:r w:rsidRPr="008814D3">
        <w:rPr>
          <w:rFonts w:ascii="Calibri" w:hAnsi="Calibri" w:cs="Calibri"/>
          <w:szCs w:val="22"/>
        </w:rPr>
        <w:t>Four issues about the nature of ‘science’ particularly appear to impinge on social justice and equity objectives: ontology, measurement, reproducibility and categorisation.</w:t>
      </w:r>
    </w:p>
    <w:p w14:paraId="474D330D" w14:textId="77777777" w:rsidR="005F3433" w:rsidRPr="008814D3" w:rsidRDefault="005F3433" w:rsidP="005F3433">
      <w:pPr>
        <w:shd w:val="clear" w:color="auto" w:fill="FFFFFF"/>
        <w:rPr>
          <w:rFonts w:ascii="Calibri" w:hAnsi="Calibri" w:cs="Calibri"/>
          <w:szCs w:val="22"/>
        </w:rPr>
      </w:pPr>
    </w:p>
    <w:p w14:paraId="77AC43C0" w14:textId="7E38A8AA"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In everyday life, we look for patterns and certainty, for effects to be the consequence of causes. Working in the social sciences, many of us have rejected notions of a single ‘truth’ (Francis, 2011, p.</w:t>
      </w:r>
      <w:r w:rsidR="00454D31" w:rsidRPr="008814D3">
        <w:rPr>
          <w:rFonts w:ascii="Calibri" w:hAnsi="Calibri" w:cs="Calibri"/>
          <w:szCs w:val="22"/>
        </w:rPr>
        <w:t xml:space="preserve"> </w:t>
      </w:r>
      <w:r w:rsidRPr="008814D3">
        <w:rPr>
          <w:rFonts w:ascii="Calibri" w:hAnsi="Calibri" w:cs="Calibri"/>
          <w:szCs w:val="22"/>
        </w:rPr>
        <w:t xml:space="preserve">8). But one of the shibboleths of much science (or at least, common perceptions of it) is that science is a value-free objective process that produce results that can be replicated, and that social research must be judged by these criteria. In the UK, a government minister </w:t>
      </w:r>
      <w:r w:rsidR="00D4458A" w:rsidRPr="008814D3">
        <w:rPr>
          <w:rFonts w:ascii="Calibri" w:hAnsi="Calibri" w:cs="Calibri"/>
          <w:szCs w:val="22"/>
        </w:rPr>
        <w:t>(Sir Keith Joseph</w:t>
      </w:r>
      <w:r w:rsidR="007D1D64" w:rsidRPr="008814D3">
        <w:rPr>
          <w:rFonts w:ascii="Calibri" w:hAnsi="Calibri" w:cs="Calibri"/>
          <w:szCs w:val="22"/>
        </w:rPr>
        <w:t>)</w:t>
      </w:r>
      <w:r w:rsidR="00D4458A" w:rsidRPr="008814D3">
        <w:rPr>
          <w:rFonts w:ascii="Calibri" w:hAnsi="Calibri" w:cs="Calibri"/>
          <w:szCs w:val="22"/>
        </w:rPr>
        <w:t xml:space="preserve"> </w:t>
      </w:r>
      <w:r w:rsidRPr="008814D3">
        <w:rPr>
          <w:rFonts w:ascii="Calibri" w:hAnsi="Calibri" w:cs="Calibri"/>
          <w:szCs w:val="22"/>
        </w:rPr>
        <w:t xml:space="preserve">decided in 1983 that the country’s Social Science Research Council </w:t>
      </w:r>
      <w:r w:rsidR="007A7C27" w:rsidRPr="008814D3">
        <w:rPr>
          <w:rFonts w:ascii="Calibri" w:hAnsi="Calibri" w:cs="Calibri"/>
          <w:szCs w:val="22"/>
        </w:rPr>
        <w:t>–</w:t>
      </w:r>
      <w:r w:rsidR="00CA0AEB">
        <w:rPr>
          <w:rFonts w:ascii="Calibri" w:hAnsi="Calibri" w:cs="Calibri"/>
          <w:szCs w:val="22"/>
        </w:rPr>
        <w:t xml:space="preserve"> </w:t>
      </w:r>
      <w:r w:rsidRPr="008814D3">
        <w:rPr>
          <w:rFonts w:ascii="Calibri" w:hAnsi="Calibri" w:cs="Calibri"/>
          <w:szCs w:val="22"/>
        </w:rPr>
        <w:t>the conduit for government funding of social science research – did not operate ‘scientifically’, and required it (under threat of removal of its funding) to redesignate itself as the Economic and Social Research Council. This view of the nature of science does not seem to be that of many scientists.</w:t>
      </w:r>
      <w:r w:rsidR="00CA0AEB">
        <w:rPr>
          <w:rFonts w:ascii="Calibri" w:hAnsi="Calibri" w:cs="Calibri"/>
          <w:szCs w:val="22"/>
        </w:rPr>
        <w:t xml:space="preserve"> </w:t>
      </w:r>
      <w:r w:rsidRPr="008814D3">
        <w:rPr>
          <w:rStyle w:val="reference-text"/>
          <w:rFonts w:ascii="Calibri" w:hAnsi="Calibri" w:cs="Calibri"/>
          <w:szCs w:val="22"/>
          <w:shd w:val="clear" w:color="auto" w:fill="FFFFFF"/>
        </w:rPr>
        <w:t xml:space="preserve">Roberto </w:t>
      </w:r>
      <w:proofErr w:type="spellStart"/>
      <w:r w:rsidRPr="008814D3">
        <w:rPr>
          <w:rStyle w:val="reference-text"/>
          <w:rFonts w:ascii="Calibri" w:hAnsi="Calibri" w:cs="Calibri"/>
          <w:szCs w:val="22"/>
          <w:shd w:val="clear" w:color="auto" w:fill="FFFFFF"/>
        </w:rPr>
        <w:t>Torretti</w:t>
      </w:r>
      <w:proofErr w:type="spellEnd"/>
      <w:r w:rsidRPr="008814D3">
        <w:rPr>
          <w:rStyle w:val="reference-text"/>
          <w:rFonts w:ascii="Calibri" w:hAnsi="Calibri" w:cs="Calibri"/>
          <w:szCs w:val="22"/>
          <w:shd w:val="clear" w:color="auto" w:fill="FFFFFF"/>
        </w:rPr>
        <w:t xml:space="preserve"> (1999) observes that many physicists hold what is termed an instrumentalist position: that science can show nothing true or false about </w:t>
      </w:r>
      <w:r w:rsidRPr="008814D3">
        <w:rPr>
          <w:rFonts w:ascii="Calibri" w:hAnsi="Calibri" w:cs="Calibri"/>
          <w:szCs w:val="22"/>
          <w:shd w:val="clear" w:color="auto" w:fill="FFFFFF"/>
        </w:rPr>
        <w:t>nature's unobservable objects, properties or processes. Scientific theory is simply a tool that allows no more than the prediction of observations and the formulation of laws that summari</w:t>
      </w:r>
      <w:r w:rsidR="00FF45CA" w:rsidRPr="008814D3">
        <w:rPr>
          <w:rFonts w:ascii="Calibri" w:hAnsi="Calibri" w:cs="Calibri"/>
          <w:szCs w:val="22"/>
          <w:shd w:val="clear" w:color="auto" w:fill="FFFFFF"/>
        </w:rPr>
        <w:t>s</w:t>
      </w:r>
      <w:r w:rsidRPr="008814D3">
        <w:rPr>
          <w:rFonts w:ascii="Calibri" w:hAnsi="Calibri" w:cs="Calibri"/>
          <w:szCs w:val="22"/>
          <w:shd w:val="clear" w:color="auto" w:fill="FFFFFF"/>
        </w:rPr>
        <w:t xml:space="preserve">e regularities, but do not (and cannot) reveal aspects that </w:t>
      </w:r>
      <w:r w:rsidRPr="008814D3">
        <w:rPr>
          <w:rFonts w:ascii="Calibri" w:hAnsi="Calibri" w:cs="Calibri"/>
          <w:i/>
          <w:iCs/>
          <w:szCs w:val="22"/>
          <w:shd w:val="clear" w:color="auto" w:fill="FFFFFF"/>
        </w:rPr>
        <w:t>explain</w:t>
      </w:r>
      <w:r w:rsidR="00A126B8">
        <w:rPr>
          <w:rFonts w:ascii="Calibri" w:hAnsi="Calibri" w:cs="Calibri"/>
          <w:szCs w:val="22"/>
          <w:shd w:val="clear" w:color="auto" w:fill="FFFFFF"/>
        </w:rPr>
        <w:t xml:space="preserve"> </w:t>
      </w:r>
      <w:r w:rsidRPr="008814D3">
        <w:rPr>
          <w:rFonts w:ascii="Calibri" w:hAnsi="Calibri" w:cs="Calibri"/>
          <w:szCs w:val="22"/>
          <w:shd w:val="clear" w:color="auto" w:fill="FFFFFF"/>
        </w:rPr>
        <w:t>such laws.</w:t>
      </w:r>
      <w:r w:rsidR="00CA0AEB">
        <w:rPr>
          <w:rFonts w:ascii="Calibri" w:hAnsi="Calibri" w:cs="Calibri"/>
          <w:szCs w:val="22"/>
          <w:shd w:val="clear" w:color="auto" w:fill="FFFFFF"/>
        </w:rPr>
        <w:t xml:space="preserve"> </w:t>
      </w:r>
      <w:r w:rsidRPr="008814D3">
        <w:rPr>
          <w:rFonts w:ascii="Calibri" w:hAnsi="Calibri" w:cs="Calibri"/>
          <w:szCs w:val="22"/>
          <w:shd w:val="clear" w:color="auto" w:fill="FFFFFF"/>
        </w:rPr>
        <w:t xml:space="preserve">Niels </w:t>
      </w:r>
      <w:r w:rsidRPr="008814D3">
        <w:rPr>
          <w:rFonts w:ascii="Calibri" w:hAnsi="Calibri" w:cs="Calibri"/>
          <w:szCs w:val="22"/>
        </w:rPr>
        <w:t>Bohr's (1928) ‘Copenhagen interpretation’ holds that reality is determined by the scientist’s choice of experiment: some experiments cause light to behave like a particle, while others</w:t>
      </w:r>
      <w:r w:rsidR="00CA0AEB">
        <w:rPr>
          <w:rFonts w:ascii="Calibri" w:hAnsi="Calibri" w:cs="Calibri"/>
          <w:szCs w:val="22"/>
        </w:rPr>
        <w:t xml:space="preserve"> </w:t>
      </w:r>
      <w:r w:rsidRPr="008814D3">
        <w:rPr>
          <w:rFonts w:ascii="Calibri" w:hAnsi="Calibri" w:cs="Calibri"/>
          <w:szCs w:val="22"/>
        </w:rPr>
        <w:t xml:space="preserve">make it act like a wave </w:t>
      </w:r>
      <w:r w:rsidR="007A7C27" w:rsidRPr="008814D3">
        <w:rPr>
          <w:rFonts w:ascii="Calibri" w:hAnsi="Calibri" w:cs="Calibri"/>
          <w:szCs w:val="22"/>
        </w:rPr>
        <w:t>–</w:t>
      </w:r>
      <w:r w:rsidRPr="008814D3">
        <w:rPr>
          <w:rFonts w:ascii="Calibri" w:hAnsi="Calibri" w:cs="Calibri"/>
          <w:szCs w:val="22"/>
        </w:rPr>
        <w:t xml:space="preserve"> there is no fundamental ‘truth’ about what light ‘actually’ is. Sub-atomic particles do not have a precise location until a scientist measures it, and the act of measurement itself determines its position. </w:t>
      </w:r>
      <w:r w:rsidR="00FB772F">
        <w:rPr>
          <w:rFonts w:ascii="Calibri" w:hAnsi="Calibri" w:cs="Calibri"/>
          <w:szCs w:val="22"/>
        </w:rPr>
        <w:t xml:space="preserve">Werner </w:t>
      </w:r>
      <w:r w:rsidRPr="008814D3">
        <w:rPr>
          <w:rFonts w:ascii="Calibri" w:hAnsi="Calibri" w:cs="Calibri"/>
          <w:szCs w:val="22"/>
        </w:rPr>
        <w:t>Heisenberg's (Born and Heisenberg, 1925) indeterminacy principle is that if an electron's position is determined in this way, then its momentum at that point cannot also be known, and vice-</w:t>
      </w:r>
      <w:r w:rsidRPr="008814D3">
        <w:rPr>
          <w:rFonts w:ascii="Calibri" w:hAnsi="Calibri" w:cs="Calibri"/>
          <w:szCs w:val="22"/>
        </w:rPr>
        <w:lastRenderedPageBreak/>
        <w:t>versa. The more accurately one of these values is known, the less accurate is the other. This is not a function of experimental limitations, but of the nature of the electron. The ‘reality’ of physics only provides ‘answers’ when it is directly questioned.</w:t>
      </w:r>
    </w:p>
    <w:p w14:paraId="26B00846" w14:textId="77777777" w:rsidR="005F3433" w:rsidRPr="008814D3" w:rsidRDefault="005F3433" w:rsidP="005F3433">
      <w:pPr>
        <w:shd w:val="clear" w:color="auto" w:fill="FFFFFF"/>
        <w:rPr>
          <w:rFonts w:ascii="Calibri" w:hAnsi="Calibri" w:cs="Calibri"/>
          <w:color w:val="222222"/>
          <w:szCs w:val="22"/>
          <w:shd w:val="clear" w:color="auto" w:fill="EAF3FF"/>
        </w:rPr>
      </w:pPr>
    </w:p>
    <w:p w14:paraId="4A3A3215" w14:textId="3A13C38E" w:rsidR="005F3433" w:rsidRDefault="005F3433" w:rsidP="00FB772F">
      <w:pPr>
        <w:pStyle w:val="byline"/>
        <w:shd w:val="clear" w:color="auto" w:fill="FFFFFF"/>
        <w:spacing w:before="0" w:beforeAutospacing="0" w:after="0" w:afterAutospacing="0"/>
        <w:rPr>
          <w:rFonts w:ascii="Calibri" w:hAnsi="Calibri" w:cs="Calibri"/>
          <w:sz w:val="22"/>
          <w:szCs w:val="22"/>
        </w:rPr>
      </w:pPr>
      <w:r w:rsidRPr="008814D3">
        <w:rPr>
          <w:rFonts w:ascii="Calibri" w:hAnsi="Calibri" w:cs="Calibri"/>
          <w:sz w:val="22"/>
          <w:szCs w:val="22"/>
        </w:rPr>
        <w:t>The same seems true of the social sciences.</w:t>
      </w:r>
      <w:r w:rsidR="00CA0AEB">
        <w:rPr>
          <w:rFonts w:ascii="Calibri" w:hAnsi="Calibri" w:cs="Calibri"/>
          <w:sz w:val="22"/>
          <w:szCs w:val="22"/>
        </w:rPr>
        <w:t xml:space="preserve"> </w:t>
      </w:r>
      <w:r w:rsidRPr="008814D3">
        <w:rPr>
          <w:rFonts w:ascii="Calibri" w:hAnsi="Calibri" w:cs="Calibri"/>
          <w:sz w:val="22"/>
          <w:szCs w:val="22"/>
        </w:rPr>
        <w:t>In education, for example, policy</w:t>
      </w:r>
      <w:r w:rsidR="00A126B8">
        <w:rPr>
          <w:rFonts w:ascii="Calibri" w:hAnsi="Calibri" w:cs="Calibri"/>
          <w:sz w:val="22"/>
          <w:szCs w:val="22"/>
        </w:rPr>
        <w:t xml:space="preserve"> </w:t>
      </w:r>
      <w:r w:rsidRPr="008814D3">
        <w:rPr>
          <w:rFonts w:ascii="Calibri" w:hAnsi="Calibri" w:cs="Calibri"/>
          <w:sz w:val="22"/>
          <w:szCs w:val="22"/>
        </w:rPr>
        <w:t>makers want to know about how well reading is being taught, on the assumption that reading is capable of both definition and measurement.</w:t>
      </w:r>
      <w:r w:rsidR="00CA0AEB">
        <w:rPr>
          <w:rFonts w:ascii="Calibri" w:hAnsi="Calibri" w:cs="Calibri"/>
          <w:sz w:val="22"/>
          <w:szCs w:val="22"/>
        </w:rPr>
        <w:t xml:space="preserve"> </w:t>
      </w:r>
      <w:r w:rsidRPr="008814D3">
        <w:rPr>
          <w:rFonts w:ascii="Calibri" w:hAnsi="Calibri" w:cs="Calibri"/>
          <w:sz w:val="22"/>
          <w:szCs w:val="22"/>
        </w:rPr>
        <w:t xml:space="preserve">There is a </w:t>
      </w:r>
      <w:r w:rsidR="00711852" w:rsidRPr="008814D3">
        <w:rPr>
          <w:rFonts w:ascii="Calibri" w:hAnsi="Calibri" w:cs="Calibri"/>
          <w:sz w:val="22"/>
          <w:szCs w:val="22"/>
        </w:rPr>
        <w:t>common-sense</w:t>
      </w:r>
      <w:r w:rsidRPr="008814D3">
        <w:rPr>
          <w:rFonts w:ascii="Calibri" w:hAnsi="Calibri" w:cs="Calibri"/>
          <w:sz w:val="22"/>
          <w:szCs w:val="22"/>
        </w:rPr>
        <w:t xml:space="preserve"> notion of what ‘being able to read’ is, but there are many texts, in English, that many of us are unable to make sense of – we can ‘read’ the words, but cannot understand what the text means. But ‘teaching to read’ is something that governments increasingly expect to measure, and </w:t>
      </w:r>
      <w:r w:rsidR="00711852" w:rsidRPr="008814D3">
        <w:rPr>
          <w:rFonts w:ascii="Calibri" w:hAnsi="Calibri" w:cs="Calibri"/>
          <w:sz w:val="22"/>
          <w:szCs w:val="22"/>
        </w:rPr>
        <w:t>common-sense</w:t>
      </w:r>
      <w:r w:rsidRPr="008814D3">
        <w:rPr>
          <w:rFonts w:ascii="Calibri" w:hAnsi="Calibri" w:cs="Calibri"/>
          <w:sz w:val="22"/>
          <w:szCs w:val="22"/>
        </w:rPr>
        <w:t xml:space="preserve"> again expects that there is a best way to teach reading and to measure the success of this process.</w:t>
      </w:r>
      <w:r w:rsidR="00CA0AEB">
        <w:rPr>
          <w:rFonts w:ascii="Calibri" w:hAnsi="Calibri" w:cs="Calibri"/>
          <w:sz w:val="22"/>
          <w:szCs w:val="22"/>
        </w:rPr>
        <w:t xml:space="preserve"> </w:t>
      </w:r>
      <w:r w:rsidRPr="008814D3">
        <w:rPr>
          <w:rFonts w:ascii="Calibri" w:hAnsi="Calibri" w:cs="Calibri"/>
          <w:color w:val="333333"/>
          <w:sz w:val="22"/>
          <w:szCs w:val="22"/>
        </w:rPr>
        <w:t>The UK (England) government (among others) has decided that ‘t</w:t>
      </w:r>
      <w:r w:rsidRPr="008814D3">
        <w:rPr>
          <w:rFonts w:ascii="Calibri" w:hAnsi="Calibri" w:cs="Calibri"/>
          <w:sz w:val="22"/>
          <w:szCs w:val="22"/>
        </w:rPr>
        <w:t>he most effective way to teach a child to read is a robust programme of systematic synthetic phonics’ (DFE</w:t>
      </w:r>
      <w:r w:rsidR="003811D5">
        <w:rPr>
          <w:rFonts w:ascii="Calibri" w:hAnsi="Calibri" w:cs="Calibri"/>
          <w:sz w:val="22"/>
          <w:szCs w:val="22"/>
        </w:rPr>
        <w:t>,</w:t>
      </w:r>
      <w:r w:rsidRPr="008814D3">
        <w:rPr>
          <w:rFonts w:ascii="Calibri" w:hAnsi="Calibri" w:cs="Calibri"/>
          <w:sz w:val="22"/>
          <w:szCs w:val="22"/>
        </w:rPr>
        <w:t xml:space="preserve"> 2015</w:t>
      </w:r>
      <w:r w:rsidR="008F05F8" w:rsidRPr="008814D3">
        <w:rPr>
          <w:rFonts w:ascii="Calibri" w:hAnsi="Calibri" w:cs="Calibri"/>
          <w:sz w:val="22"/>
          <w:szCs w:val="22"/>
        </w:rPr>
        <w:t>, p.</w:t>
      </w:r>
      <w:r w:rsidRPr="008814D3">
        <w:rPr>
          <w:rFonts w:ascii="Calibri" w:hAnsi="Calibri" w:cs="Calibri"/>
          <w:sz w:val="22"/>
          <w:szCs w:val="22"/>
        </w:rPr>
        <w:t xml:space="preserve"> 4). A proxy for measuring </w:t>
      </w:r>
      <w:r w:rsidR="00001174">
        <w:rPr>
          <w:rFonts w:ascii="Calibri" w:hAnsi="Calibri" w:cs="Calibri"/>
          <w:sz w:val="22"/>
          <w:szCs w:val="22"/>
        </w:rPr>
        <w:t xml:space="preserve">progress in </w:t>
      </w:r>
      <w:r w:rsidRPr="008814D3">
        <w:rPr>
          <w:rFonts w:ascii="Calibri" w:hAnsi="Calibri" w:cs="Calibri"/>
          <w:sz w:val="22"/>
          <w:szCs w:val="22"/>
        </w:rPr>
        <w:t xml:space="preserve">reading is thus to assess how well a child can attribute a phonic sound to a set of letters. Policy makers decided in 2012 to </w:t>
      </w:r>
      <w:r w:rsidR="008F05F8" w:rsidRPr="008814D3">
        <w:rPr>
          <w:rFonts w:ascii="Calibri" w:hAnsi="Calibri" w:cs="Calibri"/>
          <w:sz w:val="22"/>
          <w:szCs w:val="22"/>
        </w:rPr>
        <w:t>‘</w:t>
      </w:r>
      <w:r w:rsidRPr="008814D3">
        <w:rPr>
          <w:rFonts w:ascii="Calibri" w:hAnsi="Calibri" w:cs="Calibri"/>
          <w:sz w:val="22"/>
          <w:szCs w:val="22"/>
        </w:rPr>
        <w:t>introduce … a phonics screening check for pupils at [the age of 6]… The simple check asks pupils to read 40 words, of which 20 are pseudo-words. This allows teachers to identify those pupils with a genuine grasp of decoding, and those in need of further support</w:t>
      </w:r>
      <w:r w:rsidR="00396516" w:rsidRPr="008814D3">
        <w:rPr>
          <w:rFonts w:ascii="Calibri" w:hAnsi="Calibri" w:cs="Calibri"/>
          <w:sz w:val="22"/>
          <w:szCs w:val="22"/>
        </w:rPr>
        <w:t>’</w:t>
      </w:r>
      <w:r w:rsidRPr="008814D3">
        <w:rPr>
          <w:rFonts w:ascii="Calibri" w:hAnsi="Calibri" w:cs="Calibri"/>
          <w:sz w:val="22"/>
          <w:szCs w:val="22"/>
        </w:rPr>
        <w:t xml:space="preserve"> (DFE, 2015, p.4).</w:t>
      </w:r>
      <w:r w:rsidR="00CA0AEB">
        <w:rPr>
          <w:rFonts w:ascii="Calibri" w:hAnsi="Calibri" w:cs="Calibri"/>
          <w:sz w:val="22"/>
          <w:szCs w:val="22"/>
        </w:rPr>
        <w:t xml:space="preserve"> </w:t>
      </w:r>
      <w:r w:rsidRPr="008814D3">
        <w:rPr>
          <w:rFonts w:ascii="Calibri" w:hAnsi="Calibri" w:cs="Calibri"/>
          <w:sz w:val="22"/>
          <w:szCs w:val="22"/>
        </w:rPr>
        <w:t>Thus to ‘measure’ something as complex as reading, a proxy is selected that is ‘not reading’, which is used to indicate a reading ability level.</w:t>
      </w:r>
      <w:r w:rsidR="00CA0AEB">
        <w:rPr>
          <w:rFonts w:ascii="Calibri" w:hAnsi="Calibri" w:cs="Calibri"/>
          <w:sz w:val="22"/>
          <w:szCs w:val="22"/>
        </w:rPr>
        <w:t xml:space="preserve"> </w:t>
      </w:r>
      <w:r w:rsidRPr="008814D3">
        <w:rPr>
          <w:rFonts w:ascii="Calibri" w:hAnsi="Calibri" w:cs="Calibri"/>
          <w:sz w:val="22"/>
          <w:szCs w:val="22"/>
        </w:rPr>
        <w:t>Teachers are required to teach a system of phonics (an analysis of which shows that the English language is full of exceptions to phonic ‘rules’</w:t>
      </w:r>
      <w:r w:rsidR="003811D5">
        <w:rPr>
          <w:rFonts w:ascii="Calibri" w:hAnsi="Calibri" w:cs="Calibri"/>
          <w:sz w:val="22"/>
          <w:szCs w:val="22"/>
        </w:rPr>
        <w:t>:</w:t>
      </w:r>
      <w:r w:rsidRPr="008814D3">
        <w:rPr>
          <w:rFonts w:ascii="Calibri" w:hAnsi="Calibri" w:cs="Calibri"/>
          <w:sz w:val="22"/>
          <w:szCs w:val="22"/>
        </w:rPr>
        <w:t xml:space="preserve"> </w:t>
      </w:r>
      <w:proofErr w:type="spellStart"/>
      <w:r w:rsidRPr="008814D3">
        <w:rPr>
          <w:rFonts w:ascii="Calibri" w:hAnsi="Calibri" w:cs="Calibri"/>
          <w:sz w:val="22"/>
          <w:szCs w:val="22"/>
        </w:rPr>
        <w:t>Berdiansky</w:t>
      </w:r>
      <w:proofErr w:type="spellEnd"/>
      <w:r w:rsidRPr="008814D3">
        <w:rPr>
          <w:rFonts w:ascii="Calibri" w:hAnsi="Calibri" w:cs="Calibri"/>
          <w:sz w:val="22"/>
          <w:szCs w:val="22"/>
        </w:rPr>
        <w:t xml:space="preserve"> </w:t>
      </w:r>
      <w:r w:rsidRPr="008814D3">
        <w:rPr>
          <w:rFonts w:ascii="Calibri" w:hAnsi="Calibri" w:cs="Calibri"/>
          <w:i/>
          <w:iCs/>
          <w:sz w:val="22"/>
          <w:szCs w:val="22"/>
        </w:rPr>
        <w:t>et al</w:t>
      </w:r>
      <w:r w:rsidRPr="008814D3">
        <w:rPr>
          <w:rFonts w:ascii="Calibri" w:hAnsi="Calibri" w:cs="Calibri"/>
          <w:sz w:val="22"/>
          <w:szCs w:val="22"/>
        </w:rPr>
        <w:t>.</w:t>
      </w:r>
      <w:r w:rsidR="003811D5">
        <w:rPr>
          <w:rFonts w:ascii="Calibri" w:hAnsi="Calibri" w:cs="Calibri"/>
          <w:sz w:val="22"/>
          <w:szCs w:val="22"/>
        </w:rPr>
        <w:t xml:space="preserve">, </w:t>
      </w:r>
      <w:r w:rsidRPr="008814D3">
        <w:rPr>
          <w:rFonts w:ascii="Calibri" w:hAnsi="Calibri" w:cs="Calibri"/>
          <w:sz w:val="22"/>
          <w:szCs w:val="22"/>
        </w:rPr>
        <w:t>1969).</w:t>
      </w:r>
      <w:r w:rsidR="00CA0AEB">
        <w:rPr>
          <w:rFonts w:ascii="Calibri" w:hAnsi="Calibri" w:cs="Calibri"/>
          <w:sz w:val="22"/>
          <w:szCs w:val="22"/>
        </w:rPr>
        <w:t xml:space="preserve"> </w:t>
      </w:r>
      <w:r w:rsidRPr="008814D3">
        <w:rPr>
          <w:rFonts w:ascii="Calibri" w:hAnsi="Calibri" w:cs="Calibri"/>
          <w:sz w:val="22"/>
          <w:szCs w:val="22"/>
        </w:rPr>
        <w:t>Teachers must prepare children to be able to ‘say’ words that do not exist</w:t>
      </w:r>
      <w:r w:rsidR="00FB772F">
        <w:rPr>
          <w:rFonts w:ascii="Calibri" w:hAnsi="Calibri" w:cs="Calibri"/>
          <w:sz w:val="22"/>
          <w:szCs w:val="22"/>
        </w:rPr>
        <w:t xml:space="preserve"> – w</w:t>
      </w:r>
      <w:r w:rsidRPr="008814D3">
        <w:rPr>
          <w:rFonts w:ascii="Calibri" w:hAnsi="Calibri" w:cs="Calibri"/>
          <w:sz w:val="22"/>
          <w:szCs w:val="22"/>
        </w:rPr>
        <w:t xml:space="preserve">hich they do, as within two years </w:t>
      </w:r>
      <w:r w:rsidR="00FB772F">
        <w:rPr>
          <w:rFonts w:ascii="Calibri" w:hAnsi="Calibri" w:cs="Calibri"/>
          <w:sz w:val="22"/>
          <w:szCs w:val="22"/>
        </w:rPr>
        <w:t xml:space="preserve">of the introduction of this test </w:t>
      </w:r>
      <w:r w:rsidRPr="008814D3">
        <w:rPr>
          <w:rFonts w:ascii="Calibri" w:hAnsi="Calibri" w:cs="Calibri"/>
          <w:sz w:val="22"/>
          <w:szCs w:val="22"/>
        </w:rPr>
        <w:t>the proportion able to do so rose from 58 per cent to 74 percent (D</w:t>
      </w:r>
      <w:r w:rsidR="003811D5">
        <w:rPr>
          <w:rFonts w:ascii="Calibri" w:hAnsi="Calibri" w:cs="Calibri"/>
          <w:sz w:val="22"/>
          <w:szCs w:val="22"/>
        </w:rPr>
        <w:t>f</w:t>
      </w:r>
      <w:r w:rsidRPr="008814D3">
        <w:rPr>
          <w:rFonts w:ascii="Calibri" w:hAnsi="Calibri" w:cs="Calibri"/>
          <w:sz w:val="22"/>
          <w:szCs w:val="22"/>
        </w:rPr>
        <w:t>E</w:t>
      </w:r>
      <w:r w:rsidR="003811D5">
        <w:rPr>
          <w:rFonts w:ascii="Calibri" w:hAnsi="Calibri" w:cs="Calibri"/>
          <w:sz w:val="22"/>
          <w:szCs w:val="22"/>
        </w:rPr>
        <w:t>,</w:t>
      </w:r>
      <w:r w:rsidRPr="008814D3">
        <w:rPr>
          <w:rFonts w:ascii="Calibri" w:hAnsi="Calibri" w:cs="Calibri"/>
          <w:sz w:val="22"/>
          <w:szCs w:val="22"/>
        </w:rPr>
        <w:t xml:space="preserve"> 2015</w:t>
      </w:r>
      <w:r w:rsidR="0022760C">
        <w:rPr>
          <w:rFonts w:ascii="Calibri" w:hAnsi="Calibri" w:cs="Calibri"/>
          <w:sz w:val="22"/>
          <w:szCs w:val="22"/>
        </w:rPr>
        <w:t>a</w:t>
      </w:r>
      <w:r w:rsidRPr="008814D3">
        <w:rPr>
          <w:rFonts w:ascii="Calibri" w:hAnsi="Calibri" w:cs="Calibri"/>
          <w:sz w:val="22"/>
          <w:szCs w:val="22"/>
        </w:rPr>
        <w:t xml:space="preserve">). </w:t>
      </w:r>
      <w:proofErr w:type="spellStart"/>
      <w:r w:rsidR="00FB772F">
        <w:rPr>
          <w:rFonts w:ascii="Calibri" w:hAnsi="Calibri" w:cs="Calibri"/>
          <w:sz w:val="22"/>
          <w:szCs w:val="22"/>
        </w:rPr>
        <w:t>Merryn</w:t>
      </w:r>
      <w:proofErr w:type="spellEnd"/>
      <w:r w:rsidR="00FB772F">
        <w:rPr>
          <w:rFonts w:ascii="Calibri" w:hAnsi="Calibri" w:cs="Calibri"/>
          <w:sz w:val="22"/>
          <w:szCs w:val="22"/>
        </w:rPr>
        <w:t xml:space="preserve"> </w:t>
      </w:r>
      <w:r w:rsidRPr="008814D3">
        <w:rPr>
          <w:rFonts w:ascii="Calibri" w:hAnsi="Calibri" w:cs="Calibri"/>
          <w:sz w:val="22"/>
          <w:szCs w:val="22"/>
        </w:rPr>
        <w:t>Hutchings</w:t>
      </w:r>
      <w:r w:rsidR="001C6EE5" w:rsidRPr="008814D3">
        <w:rPr>
          <w:rFonts w:ascii="Calibri" w:hAnsi="Calibri" w:cs="Calibri"/>
          <w:sz w:val="22"/>
          <w:szCs w:val="22"/>
        </w:rPr>
        <w:t xml:space="preserve"> </w:t>
      </w:r>
      <w:r w:rsidR="00ED607B" w:rsidRPr="008814D3">
        <w:rPr>
          <w:rFonts w:ascii="Calibri" w:hAnsi="Calibri" w:cs="Calibri"/>
          <w:sz w:val="22"/>
          <w:szCs w:val="22"/>
        </w:rPr>
        <w:t>(C</w:t>
      </w:r>
      <w:r w:rsidRPr="008814D3">
        <w:rPr>
          <w:rFonts w:ascii="Calibri" w:hAnsi="Calibri" w:cs="Calibri"/>
          <w:sz w:val="22"/>
          <w:szCs w:val="22"/>
        </w:rPr>
        <w:t xml:space="preserve">hapter </w:t>
      </w:r>
      <w:r w:rsidR="009324F1">
        <w:rPr>
          <w:rFonts w:ascii="Calibri" w:hAnsi="Calibri" w:cs="Calibri"/>
          <w:sz w:val="22"/>
          <w:szCs w:val="22"/>
        </w:rPr>
        <w:t>3</w:t>
      </w:r>
      <w:r w:rsidR="00F6599E">
        <w:rPr>
          <w:rFonts w:ascii="Calibri" w:hAnsi="Calibri" w:cs="Calibri"/>
          <w:sz w:val="22"/>
          <w:szCs w:val="22"/>
        </w:rPr>
        <w:t xml:space="preserve">, </w:t>
      </w:r>
      <w:r w:rsidR="00F6599E" w:rsidRPr="008814D3">
        <w:rPr>
          <w:rFonts w:ascii="Calibri" w:hAnsi="Calibri" w:cs="Calibri"/>
          <w:sz w:val="22"/>
          <w:szCs w:val="22"/>
        </w:rPr>
        <w:t>2020</w:t>
      </w:r>
      <w:r w:rsidR="00F6599E">
        <w:rPr>
          <w:rFonts w:ascii="Calibri" w:hAnsi="Calibri" w:cs="Calibri"/>
          <w:sz w:val="22"/>
          <w:szCs w:val="22"/>
        </w:rPr>
        <w:t>a</w:t>
      </w:r>
      <w:r w:rsidR="00036065" w:rsidRPr="008814D3">
        <w:rPr>
          <w:rFonts w:ascii="Calibri" w:hAnsi="Calibri" w:cs="Calibri"/>
          <w:sz w:val="22"/>
          <w:szCs w:val="22"/>
        </w:rPr>
        <w:t>)</w:t>
      </w:r>
      <w:r w:rsidRPr="008814D3">
        <w:rPr>
          <w:rFonts w:ascii="Calibri" w:hAnsi="Calibri" w:cs="Calibri"/>
          <w:sz w:val="22"/>
          <w:szCs w:val="22"/>
        </w:rPr>
        <w:t xml:space="preserve"> elaborates further on this.</w:t>
      </w:r>
      <w:r w:rsidR="00CA0AEB">
        <w:rPr>
          <w:rFonts w:ascii="Calibri" w:hAnsi="Calibri" w:cs="Calibri"/>
          <w:sz w:val="22"/>
          <w:szCs w:val="22"/>
        </w:rPr>
        <w:t xml:space="preserve"> </w:t>
      </w:r>
      <w:r w:rsidRPr="008814D3">
        <w:rPr>
          <w:rFonts w:ascii="Calibri" w:hAnsi="Calibri" w:cs="Calibri"/>
          <w:sz w:val="22"/>
          <w:szCs w:val="22"/>
        </w:rPr>
        <w:t>This is as classic an example of the taking of measurements causing the nature of what is being observed to shift as any indeterminacy principle in sub-atomic physics.</w:t>
      </w:r>
    </w:p>
    <w:p w14:paraId="6206A611" w14:textId="77777777" w:rsidR="00FB772F" w:rsidRPr="008814D3" w:rsidRDefault="00FB772F" w:rsidP="00FB772F">
      <w:pPr>
        <w:pStyle w:val="byline"/>
        <w:shd w:val="clear" w:color="auto" w:fill="FFFFFF"/>
        <w:spacing w:before="0" w:beforeAutospacing="0" w:after="0" w:afterAutospacing="0"/>
        <w:rPr>
          <w:rFonts w:ascii="Calibri" w:hAnsi="Calibri" w:cs="Calibri"/>
          <w:sz w:val="22"/>
          <w:szCs w:val="22"/>
        </w:rPr>
      </w:pPr>
    </w:p>
    <w:p w14:paraId="35A02280" w14:textId="22000106" w:rsidR="005F3433" w:rsidRPr="008814D3" w:rsidRDefault="005F3433" w:rsidP="005F3433">
      <w:pPr>
        <w:shd w:val="clear" w:color="auto" w:fill="FFFFFF"/>
        <w:rPr>
          <w:rStyle w:val="HTMLCite"/>
          <w:rFonts w:ascii="Calibri" w:hAnsi="Calibri" w:cs="Calibri"/>
          <w:i w:val="0"/>
          <w:szCs w:val="22"/>
        </w:rPr>
      </w:pPr>
      <w:r w:rsidRPr="008814D3">
        <w:rPr>
          <w:rFonts w:ascii="Calibri" w:hAnsi="Calibri" w:cs="Calibri"/>
          <w:szCs w:val="22"/>
        </w:rPr>
        <w:t>Policy</w:t>
      </w:r>
      <w:r w:rsidR="00A126B8">
        <w:rPr>
          <w:rFonts w:ascii="Calibri" w:hAnsi="Calibri" w:cs="Calibri"/>
          <w:szCs w:val="22"/>
        </w:rPr>
        <w:t xml:space="preserve"> </w:t>
      </w:r>
      <w:r w:rsidRPr="008814D3">
        <w:rPr>
          <w:rFonts w:ascii="Calibri" w:hAnsi="Calibri" w:cs="Calibri"/>
          <w:szCs w:val="22"/>
        </w:rPr>
        <w:t>makers – and researchers themselves – want research findings to be reproducible: conducting the same study, under similar conditions, should produce the same results. There is, however, a current concern that many scientific findings – in the non-social science area – are not replicable.</w:t>
      </w:r>
      <w:r w:rsidR="00CA0AEB">
        <w:rPr>
          <w:rFonts w:ascii="Calibri" w:hAnsi="Calibri" w:cs="Calibri"/>
          <w:szCs w:val="22"/>
        </w:rPr>
        <w:t xml:space="preserve"> </w:t>
      </w:r>
      <w:r w:rsidRPr="008814D3">
        <w:rPr>
          <w:rFonts w:ascii="Calibri" w:hAnsi="Calibri" w:cs="Calibri"/>
          <w:szCs w:val="22"/>
        </w:rPr>
        <w:t xml:space="preserve">A survey in 2015 of over 1500 scientists by the journal </w:t>
      </w:r>
      <w:r w:rsidRPr="008814D3">
        <w:rPr>
          <w:rFonts w:ascii="Calibri" w:hAnsi="Calibri" w:cs="Calibri"/>
          <w:i/>
          <w:szCs w:val="22"/>
        </w:rPr>
        <w:t xml:space="preserve">Nature </w:t>
      </w:r>
      <w:r w:rsidRPr="008814D3">
        <w:rPr>
          <w:rFonts w:ascii="Calibri" w:hAnsi="Calibri" w:cs="Calibri"/>
          <w:szCs w:val="22"/>
        </w:rPr>
        <w:t xml:space="preserve">found that 52 per cent thought that there were significant problems over reproducibility, and a further 38 per cent thought </w:t>
      </w:r>
      <w:r w:rsidR="007E32D0" w:rsidRPr="008814D3">
        <w:rPr>
          <w:rFonts w:ascii="Calibri" w:hAnsi="Calibri" w:cs="Calibri"/>
          <w:szCs w:val="22"/>
        </w:rPr>
        <w:t xml:space="preserve">it an </w:t>
      </w:r>
      <w:r w:rsidRPr="008814D3">
        <w:rPr>
          <w:rFonts w:ascii="Calibri" w:hAnsi="Calibri" w:cs="Calibri"/>
          <w:szCs w:val="22"/>
        </w:rPr>
        <w:t>issue of a lesser order (Baker, 2016). Some 70 per cent had tried and failed to reproduce another scientist's experiments, and more than half failed to reproduce their own experiments.</w:t>
      </w:r>
      <w:r w:rsidR="00CA0AEB">
        <w:rPr>
          <w:rFonts w:ascii="Calibri" w:hAnsi="Calibri" w:cs="Calibri"/>
          <w:szCs w:val="22"/>
        </w:rPr>
        <w:t xml:space="preserve"> </w:t>
      </w:r>
      <w:r w:rsidRPr="008814D3">
        <w:rPr>
          <w:rFonts w:ascii="Calibri" w:hAnsi="Calibri" w:cs="Calibri"/>
          <w:szCs w:val="22"/>
        </w:rPr>
        <w:t xml:space="preserve">Education researchers in general have been castigated by David Hargreaves (1996) as producing findings that were non-cumulative, unsystematic and non-replicable: moreover, the research was not known of, or conducted by, practitioners, in contrast to medical research. </w:t>
      </w:r>
      <w:r w:rsidR="00FD6763" w:rsidRPr="008814D3">
        <w:rPr>
          <w:rFonts w:ascii="Calibri" w:hAnsi="Calibri" w:cs="Calibri"/>
          <w:szCs w:val="22"/>
        </w:rPr>
        <w:t>‘</w:t>
      </w:r>
      <w:r w:rsidRPr="008814D3">
        <w:rPr>
          <w:rFonts w:ascii="Calibri" w:hAnsi="Calibri" w:cs="Calibri"/>
          <w:szCs w:val="22"/>
        </w:rPr>
        <w:t>Replications, which are more necessary in the social than the natural sciences because of the importance of contextual and cultural variations, are astonishingly rare</w:t>
      </w:r>
      <w:r w:rsidR="00FD6763" w:rsidRPr="008814D3">
        <w:rPr>
          <w:rFonts w:ascii="Calibri" w:hAnsi="Calibri" w:cs="Calibri"/>
          <w:szCs w:val="22"/>
        </w:rPr>
        <w:t>’</w:t>
      </w:r>
      <w:r w:rsidRPr="008814D3">
        <w:rPr>
          <w:rFonts w:ascii="Calibri" w:hAnsi="Calibri" w:cs="Calibri"/>
          <w:szCs w:val="22"/>
        </w:rPr>
        <w:t xml:space="preserve"> (Hargreaves, 1996, p.</w:t>
      </w:r>
      <w:r w:rsidR="00FD6763" w:rsidRPr="008814D3">
        <w:rPr>
          <w:rFonts w:ascii="Calibri" w:hAnsi="Calibri" w:cs="Calibri"/>
          <w:szCs w:val="22"/>
        </w:rPr>
        <w:t xml:space="preserve"> </w:t>
      </w:r>
      <w:r w:rsidRPr="008814D3">
        <w:rPr>
          <w:rFonts w:ascii="Calibri" w:hAnsi="Calibri" w:cs="Calibri"/>
          <w:szCs w:val="22"/>
        </w:rPr>
        <w:t>2). His advocacy of Randomised Control Trials in educational research ignores</w:t>
      </w:r>
      <w:r w:rsidR="005B3506">
        <w:rPr>
          <w:rFonts w:ascii="Calibri" w:hAnsi="Calibri" w:cs="Calibri"/>
          <w:szCs w:val="22"/>
        </w:rPr>
        <w:t xml:space="preserve"> </w:t>
      </w:r>
      <w:r w:rsidRPr="008814D3">
        <w:rPr>
          <w:rFonts w:ascii="Calibri" w:hAnsi="Calibri" w:cs="Calibri"/>
          <w:szCs w:val="22"/>
        </w:rPr>
        <w:t xml:space="preserve">the essential contingencies of educational/learning settings (Hammersley, 1997; </w:t>
      </w:r>
      <w:proofErr w:type="spellStart"/>
      <w:r w:rsidRPr="008814D3">
        <w:rPr>
          <w:rStyle w:val="Strong"/>
          <w:rFonts w:ascii="Calibri" w:hAnsi="Calibri" w:cs="Calibri"/>
          <w:b w:val="0"/>
          <w:szCs w:val="22"/>
          <w:bdr w:val="none" w:sz="0" w:space="0" w:color="auto" w:frame="1"/>
        </w:rPr>
        <w:t>Kou</w:t>
      </w:r>
      <w:r w:rsidR="001C5B57">
        <w:rPr>
          <w:rStyle w:val="Strong"/>
          <w:rFonts w:ascii="Calibri" w:hAnsi="Calibri" w:cs="Calibri"/>
          <w:b w:val="0"/>
          <w:szCs w:val="22"/>
          <w:bdr w:val="none" w:sz="0" w:space="0" w:color="auto" w:frame="1"/>
        </w:rPr>
        <w:t>t</w:t>
      </w:r>
      <w:r w:rsidRPr="008814D3">
        <w:rPr>
          <w:rStyle w:val="Strong"/>
          <w:rFonts w:ascii="Calibri" w:hAnsi="Calibri" w:cs="Calibri"/>
          <w:b w:val="0"/>
          <w:szCs w:val="22"/>
          <w:bdr w:val="none" w:sz="0" w:space="0" w:color="auto" w:frame="1"/>
        </w:rPr>
        <w:t>souris</w:t>
      </w:r>
      <w:proofErr w:type="spellEnd"/>
      <w:r w:rsidRPr="008814D3">
        <w:rPr>
          <w:rStyle w:val="Strong"/>
          <w:rFonts w:ascii="Calibri" w:hAnsi="Calibri" w:cs="Calibri"/>
          <w:b w:val="0"/>
          <w:szCs w:val="22"/>
          <w:bdr w:val="none" w:sz="0" w:space="0" w:color="auto" w:frame="1"/>
        </w:rPr>
        <w:t xml:space="preserve"> and Norwich, 2018</w:t>
      </w:r>
      <w:r w:rsidRPr="008814D3">
        <w:rPr>
          <w:rFonts w:ascii="Calibri" w:hAnsi="Calibri" w:cs="Calibri"/>
          <w:szCs w:val="22"/>
        </w:rPr>
        <w:t>).</w:t>
      </w:r>
      <w:r w:rsidR="00FD6763" w:rsidRPr="008814D3">
        <w:rPr>
          <w:rFonts w:ascii="Calibri" w:hAnsi="Calibri" w:cs="Calibri"/>
          <w:szCs w:val="22"/>
        </w:rPr>
        <w:t xml:space="preserve"> </w:t>
      </w:r>
      <w:r w:rsidRPr="008814D3">
        <w:rPr>
          <w:rFonts w:ascii="Calibri" w:hAnsi="Calibri" w:cs="Calibri"/>
          <w:szCs w:val="22"/>
        </w:rPr>
        <w:t xml:space="preserve">Hargreaves contrasts educational research with medical research: </w:t>
      </w:r>
      <w:r w:rsidR="00FD6763" w:rsidRPr="008814D3">
        <w:rPr>
          <w:rFonts w:ascii="Calibri" w:hAnsi="Calibri" w:cs="Calibri"/>
          <w:szCs w:val="22"/>
        </w:rPr>
        <w:t>‘</w:t>
      </w:r>
      <w:r w:rsidRPr="008814D3">
        <w:rPr>
          <w:rFonts w:ascii="Calibri" w:hAnsi="Calibri" w:cs="Calibri"/>
          <w:szCs w:val="22"/>
        </w:rPr>
        <w:t>the spread of evidence</w:t>
      </w:r>
      <w:r w:rsidR="009324F1">
        <w:rPr>
          <w:rFonts w:ascii="Calibri" w:hAnsi="Calibri" w:cs="Calibri"/>
          <w:szCs w:val="22"/>
        </w:rPr>
        <w:t>-</w:t>
      </w:r>
      <w:r w:rsidRPr="008814D3">
        <w:rPr>
          <w:rFonts w:ascii="Calibri" w:hAnsi="Calibri" w:cs="Calibri"/>
          <w:szCs w:val="22"/>
        </w:rPr>
        <w:t>based medicine is rooting much medical research firmly in the day-to-day practices of doctors</w:t>
      </w:r>
      <w:r w:rsidR="00FD6763" w:rsidRPr="008814D3">
        <w:rPr>
          <w:rFonts w:ascii="Calibri" w:hAnsi="Calibri" w:cs="Calibri"/>
          <w:szCs w:val="22"/>
        </w:rPr>
        <w:t>’</w:t>
      </w:r>
      <w:r w:rsidRPr="008814D3">
        <w:rPr>
          <w:rFonts w:ascii="Calibri" w:hAnsi="Calibri" w:cs="Calibri"/>
          <w:szCs w:val="22"/>
        </w:rPr>
        <w:t xml:space="preserve"> (Hargreaves, 1996, p.</w:t>
      </w:r>
      <w:r w:rsidR="00FD6763" w:rsidRPr="008814D3">
        <w:rPr>
          <w:rFonts w:ascii="Calibri" w:hAnsi="Calibri" w:cs="Calibri"/>
          <w:szCs w:val="22"/>
        </w:rPr>
        <w:t xml:space="preserve"> </w:t>
      </w:r>
      <w:r w:rsidRPr="008814D3">
        <w:rPr>
          <w:rFonts w:ascii="Calibri" w:hAnsi="Calibri" w:cs="Calibri"/>
          <w:szCs w:val="22"/>
        </w:rPr>
        <w:t>3).</w:t>
      </w:r>
      <w:r w:rsidR="00CA0AEB">
        <w:rPr>
          <w:rFonts w:ascii="Calibri" w:hAnsi="Calibri" w:cs="Calibri"/>
          <w:szCs w:val="22"/>
        </w:rPr>
        <w:t xml:space="preserve"> </w:t>
      </w:r>
      <w:r w:rsidR="00A26788">
        <w:rPr>
          <w:rFonts w:ascii="Calibri" w:hAnsi="Calibri" w:cs="Calibri"/>
          <w:szCs w:val="22"/>
        </w:rPr>
        <w:t xml:space="preserve">Martyn </w:t>
      </w:r>
      <w:r w:rsidRPr="008814D3">
        <w:rPr>
          <w:rFonts w:ascii="Calibri" w:hAnsi="Calibri" w:cs="Calibri"/>
          <w:szCs w:val="22"/>
        </w:rPr>
        <w:t>Hammersley’s counter to this was to deny that teach</w:t>
      </w:r>
      <w:r w:rsidR="00F065B2">
        <w:rPr>
          <w:rFonts w:ascii="Calibri" w:hAnsi="Calibri" w:cs="Calibri"/>
          <w:szCs w:val="22"/>
        </w:rPr>
        <w:t xml:space="preserve">ers’ work </w:t>
      </w:r>
      <w:r w:rsidRPr="008814D3">
        <w:rPr>
          <w:rFonts w:ascii="Calibri" w:hAnsi="Calibri" w:cs="Calibri"/>
          <w:szCs w:val="22"/>
        </w:rPr>
        <w:t>could be compared to th</w:t>
      </w:r>
      <w:r w:rsidR="00F065B2">
        <w:rPr>
          <w:rFonts w:ascii="Calibri" w:hAnsi="Calibri" w:cs="Calibri"/>
          <w:szCs w:val="22"/>
        </w:rPr>
        <w:t xml:space="preserve">at </w:t>
      </w:r>
      <w:r w:rsidRPr="008814D3">
        <w:rPr>
          <w:rFonts w:ascii="Calibri" w:hAnsi="Calibri" w:cs="Calibri"/>
          <w:szCs w:val="22"/>
        </w:rPr>
        <w:t xml:space="preserve">of doctors: their work </w:t>
      </w:r>
      <w:r w:rsidR="00FD6763" w:rsidRPr="008814D3">
        <w:rPr>
          <w:rFonts w:ascii="Calibri" w:hAnsi="Calibri" w:cs="Calibri"/>
          <w:szCs w:val="22"/>
        </w:rPr>
        <w:t>‘</w:t>
      </w:r>
      <w:r w:rsidRPr="008814D3">
        <w:rPr>
          <w:rFonts w:ascii="Calibri" w:hAnsi="Calibri" w:cs="Calibri"/>
          <w:szCs w:val="22"/>
        </w:rPr>
        <w:t>is a matter of making judgements, rather than following rules</w:t>
      </w:r>
      <w:r w:rsidR="00FD6763" w:rsidRPr="008814D3">
        <w:rPr>
          <w:rFonts w:ascii="Calibri" w:hAnsi="Calibri" w:cs="Calibri"/>
          <w:szCs w:val="22"/>
        </w:rPr>
        <w:t>’</w:t>
      </w:r>
      <w:r w:rsidRPr="008814D3">
        <w:rPr>
          <w:rFonts w:ascii="Calibri" w:hAnsi="Calibri" w:cs="Calibri"/>
          <w:szCs w:val="22"/>
        </w:rPr>
        <w:t xml:space="preserve"> (Hammersley, 1997, p.</w:t>
      </w:r>
      <w:r w:rsidR="00FD6763" w:rsidRPr="008814D3">
        <w:rPr>
          <w:rFonts w:ascii="Calibri" w:hAnsi="Calibri" w:cs="Calibri"/>
          <w:szCs w:val="22"/>
        </w:rPr>
        <w:t xml:space="preserve"> </w:t>
      </w:r>
      <w:r w:rsidRPr="008814D3">
        <w:rPr>
          <w:rFonts w:ascii="Calibri" w:hAnsi="Calibri" w:cs="Calibri"/>
          <w:szCs w:val="22"/>
        </w:rPr>
        <w:t>147).</w:t>
      </w:r>
      <w:r w:rsidR="00CA0AEB">
        <w:rPr>
          <w:rFonts w:ascii="Calibri" w:hAnsi="Calibri" w:cs="Calibri"/>
          <w:szCs w:val="22"/>
        </w:rPr>
        <w:t xml:space="preserve"> </w:t>
      </w:r>
      <w:r w:rsidRPr="008814D3">
        <w:rPr>
          <w:rFonts w:ascii="Calibri" w:hAnsi="Calibri" w:cs="Calibri"/>
          <w:szCs w:val="22"/>
        </w:rPr>
        <w:t xml:space="preserve">And medical research itself suffers from the same issues as the other natural sciences: a recent study found that </w:t>
      </w:r>
      <w:r w:rsidRPr="008814D3">
        <w:rPr>
          <w:rFonts w:ascii="Calibri" w:hAnsi="Calibri" w:cs="Calibri"/>
          <w:szCs w:val="22"/>
          <w:shd w:val="clear" w:color="auto" w:fill="FFFFFF"/>
        </w:rPr>
        <w:t>47 out of 53 medical research papers focused on cancer research could not be reproduced (</w:t>
      </w:r>
      <w:r w:rsidRPr="008814D3">
        <w:rPr>
          <w:rStyle w:val="HTMLCite"/>
          <w:rFonts w:ascii="Calibri" w:hAnsi="Calibri" w:cs="Calibri"/>
          <w:i w:val="0"/>
          <w:iCs w:val="0"/>
          <w:szCs w:val="22"/>
        </w:rPr>
        <w:t>Begley and Ellis</w:t>
      </w:r>
      <w:r w:rsidR="00FD6763" w:rsidRPr="008814D3">
        <w:rPr>
          <w:rStyle w:val="HTMLCite"/>
          <w:rFonts w:ascii="Calibri" w:hAnsi="Calibri" w:cs="Calibri"/>
          <w:i w:val="0"/>
          <w:iCs w:val="0"/>
          <w:szCs w:val="22"/>
        </w:rPr>
        <w:t>,</w:t>
      </w:r>
      <w:r w:rsidRPr="008814D3">
        <w:rPr>
          <w:rStyle w:val="HTMLCite"/>
          <w:rFonts w:ascii="Calibri" w:hAnsi="Calibri" w:cs="Calibri"/>
          <w:i w:val="0"/>
          <w:iCs w:val="0"/>
          <w:szCs w:val="22"/>
        </w:rPr>
        <w:t xml:space="preserve"> 2012).</w:t>
      </w:r>
      <w:r w:rsidR="00CA0AEB">
        <w:rPr>
          <w:rStyle w:val="HTMLCite"/>
          <w:rFonts w:ascii="Calibri" w:hAnsi="Calibri" w:cs="Calibri"/>
          <w:i w:val="0"/>
          <w:iCs w:val="0"/>
          <w:szCs w:val="22"/>
        </w:rPr>
        <w:t xml:space="preserve"> </w:t>
      </w:r>
      <w:r w:rsidRPr="008814D3">
        <w:rPr>
          <w:rStyle w:val="HTMLCite"/>
          <w:rFonts w:ascii="Calibri" w:hAnsi="Calibri" w:cs="Calibri"/>
          <w:i w:val="0"/>
          <w:iCs w:val="0"/>
          <w:szCs w:val="22"/>
        </w:rPr>
        <w:t xml:space="preserve">Social science research in general ‘suffers’ from non-replicability, but, as has been shown, </w:t>
      </w:r>
      <w:r w:rsidR="009C3FEE" w:rsidRPr="008814D3">
        <w:rPr>
          <w:rStyle w:val="HTMLCite"/>
          <w:rFonts w:ascii="Calibri" w:hAnsi="Calibri" w:cs="Calibri"/>
          <w:i w:val="0"/>
          <w:iCs w:val="0"/>
          <w:szCs w:val="22"/>
        </w:rPr>
        <w:t xml:space="preserve">this </w:t>
      </w:r>
      <w:r w:rsidRPr="008814D3">
        <w:rPr>
          <w:rStyle w:val="HTMLCite"/>
          <w:rFonts w:ascii="Calibri" w:hAnsi="Calibri" w:cs="Calibri"/>
          <w:i w:val="0"/>
          <w:iCs w:val="0"/>
          <w:szCs w:val="22"/>
        </w:rPr>
        <w:t>is no more than in the natural sciences (</w:t>
      </w:r>
      <w:r w:rsidRPr="008814D3">
        <w:rPr>
          <w:rFonts w:ascii="Calibri" w:hAnsi="Calibri" w:cs="Calibri"/>
          <w:szCs w:val="22"/>
        </w:rPr>
        <w:t xml:space="preserve">Camerer </w:t>
      </w:r>
      <w:r w:rsidRPr="008814D3">
        <w:rPr>
          <w:rFonts w:ascii="Calibri" w:hAnsi="Calibri" w:cs="Calibri"/>
          <w:i/>
          <w:iCs/>
          <w:szCs w:val="22"/>
        </w:rPr>
        <w:t>et al</w:t>
      </w:r>
      <w:r w:rsidRPr="008814D3">
        <w:rPr>
          <w:rFonts w:ascii="Calibri" w:hAnsi="Calibri" w:cs="Calibri"/>
          <w:szCs w:val="22"/>
        </w:rPr>
        <w:t>.,</w:t>
      </w:r>
      <w:r w:rsidR="00CA0AEB">
        <w:rPr>
          <w:rFonts w:ascii="Calibri" w:hAnsi="Calibri" w:cs="Calibri"/>
          <w:szCs w:val="22"/>
        </w:rPr>
        <w:t xml:space="preserve"> </w:t>
      </w:r>
      <w:r w:rsidRPr="008814D3">
        <w:rPr>
          <w:rFonts w:ascii="Calibri" w:hAnsi="Calibri" w:cs="Calibri"/>
          <w:szCs w:val="22"/>
        </w:rPr>
        <w:t>2018;</w:t>
      </w:r>
      <w:r w:rsidR="00CA0AEB">
        <w:rPr>
          <w:rFonts w:ascii="Calibri" w:hAnsi="Calibri" w:cs="Calibri"/>
          <w:szCs w:val="22"/>
        </w:rPr>
        <w:t xml:space="preserve"> </w:t>
      </w:r>
      <w:r w:rsidR="003811D5" w:rsidRPr="008814D3">
        <w:rPr>
          <w:rFonts w:ascii="Calibri" w:hAnsi="Calibri" w:cs="Calibri"/>
          <w:szCs w:val="22"/>
        </w:rPr>
        <w:t>consider</w:t>
      </w:r>
      <w:r w:rsidR="003811D5">
        <w:rPr>
          <w:rFonts w:ascii="Calibri" w:hAnsi="Calibri" w:cs="Calibri"/>
          <w:szCs w:val="22"/>
        </w:rPr>
        <w:t>ed</w:t>
      </w:r>
      <w:r w:rsidR="003811D5" w:rsidRPr="008814D3">
        <w:rPr>
          <w:rFonts w:ascii="Calibri" w:hAnsi="Calibri" w:cs="Calibri"/>
          <w:szCs w:val="22"/>
        </w:rPr>
        <w:t xml:space="preserve"> in greater detail </w:t>
      </w:r>
      <w:r w:rsidR="008B2F69">
        <w:rPr>
          <w:rFonts w:ascii="Calibri" w:hAnsi="Calibri" w:cs="Calibri"/>
          <w:szCs w:val="22"/>
        </w:rPr>
        <w:t xml:space="preserve">in </w:t>
      </w:r>
      <w:r w:rsidR="008B2F69" w:rsidRPr="008814D3">
        <w:rPr>
          <w:rFonts w:ascii="Calibri" w:hAnsi="Calibri" w:cs="Calibri"/>
          <w:szCs w:val="22"/>
        </w:rPr>
        <w:t>Chapter 2</w:t>
      </w:r>
      <w:r w:rsidR="008B2F69">
        <w:rPr>
          <w:rFonts w:ascii="Calibri" w:hAnsi="Calibri" w:cs="Calibri"/>
          <w:szCs w:val="22"/>
        </w:rPr>
        <w:t xml:space="preserve">, </w:t>
      </w:r>
      <w:proofErr w:type="spellStart"/>
      <w:r w:rsidRPr="008814D3">
        <w:rPr>
          <w:rFonts w:ascii="Calibri" w:hAnsi="Calibri" w:cs="Calibri"/>
          <w:szCs w:val="22"/>
        </w:rPr>
        <w:t>Menter</w:t>
      </w:r>
      <w:proofErr w:type="spellEnd"/>
      <w:r w:rsidR="003811D5">
        <w:rPr>
          <w:rFonts w:ascii="Calibri" w:hAnsi="Calibri" w:cs="Calibri"/>
          <w:szCs w:val="22"/>
        </w:rPr>
        <w:t xml:space="preserve">, </w:t>
      </w:r>
      <w:r w:rsidR="003D1E74" w:rsidRPr="008814D3">
        <w:rPr>
          <w:rFonts w:ascii="Calibri" w:hAnsi="Calibri" w:cs="Calibri"/>
          <w:szCs w:val="22"/>
        </w:rPr>
        <w:t>2020</w:t>
      </w:r>
      <w:r w:rsidRPr="008814D3">
        <w:rPr>
          <w:rFonts w:ascii="Calibri" w:hAnsi="Calibri" w:cs="Calibri"/>
          <w:szCs w:val="22"/>
        </w:rPr>
        <w:t>).</w:t>
      </w:r>
      <w:r w:rsidR="00CA0AEB">
        <w:rPr>
          <w:rFonts w:ascii="Calibri" w:hAnsi="Calibri" w:cs="Calibri"/>
          <w:b/>
          <w:szCs w:val="22"/>
        </w:rPr>
        <w:t xml:space="preserve"> </w:t>
      </w:r>
    </w:p>
    <w:p w14:paraId="5B585E4B" w14:textId="77777777" w:rsidR="005F3433" w:rsidRPr="008814D3" w:rsidRDefault="005F3433" w:rsidP="005F3433">
      <w:pPr>
        <w:shd w:val="clear" w:color="auto" w:fill="FFFFFF"/>
        <w:rPr>
          <w:rStyle w:val="HTMLCite"/>
          <w:rFonts w:ascii="Calibri" w:hAnsi="Calibri" w:cs="Calibri"/>
          <w:i w:val="0"/>
          <w:color w:val="222222"/>
          <w:szCs w:val="22"/>
        </w:rPr>
      </w:pPr>
    </w:p>
    <w:p w14:paraId="68263C42" w14:textId="25E5AD64" w:rsidR="005F3433" w:rsidRPr="008814D3" w:rsidRDefault="005F3433" w:rsidP="005F3433">
      <w:pPr>
        <w:rPr>
          <w:rFonts w:ascii="Calibri" w:hAnsi="Calibri" w:cs="Calibri"/>
          <w:szCs w:val="22"/>
        </w:rPr>
      </w:pPr>
      <w:r w:rsidRPr="008814D3">
        <w:rPr>
          <w:rFonts w:ascii="Calibri" w:hAnsi="Calibri" w:cs="Calibri"/>
          <w:szCs w:val="22"/>
        </w:rPr>
        <w:lastRenderedPageBreak/>
        <w:t xml:space="preserve">Much empirical social science research has also been criticised for drawing subjects from a very narrow base: one estimate is that 80 per cent of the </w:t>
      </w:r>
      <w:r w:rsidR="00A26788">
        <w:rPr>
          <w:rFonts w:ascii="Calibri" w:hAnsi="Calibri" w:cs="Calibri"/>
          <w:szCs w:val="22"/>
        </w:rPr>
        <w:t xml:space="preserve">subjects of </w:t>
      </w:r>
      <w:r w:rsidRPr="008814D3">
        <w:rPr>
          <w:rFonts w:ascii="Calibri" w:hAnsi="Calibri" w:cs="Calibri"/>
          <w:szCs w:val="22"/>
        </w:rPr>
        <w:t>non-USA studies are drawn from psychology undergraduates in the capital city of a country (Arnett</w:t>
      </w:r>
      <w:r w:rsidR="00B34718" w:rsidRPr="008814D3">
        <w:rPr>
          <w:rFonts w:ascii="Calibri" w:hAnsi="Calibri" w:cs="Calibri"/>
          <w:szCs w:val="22"/>
        </w:rPr>
        <w:t>,</w:t>
      </w:r>
      <w:r w:rsidRPr="008814D3">
        <w:rPr>
          <w:rFonts w:ascii="Calibri" w:hAnsi="Calibri" w:cs="Calibri"/>
          <w:szCs w:val="22"/>
        </w:rPr>
        <w:t xml:space="preserve"> 2008), which are then extrapolated to be representative of the country’s inhabitants in general (</w:t>
      </w:r>
      <w:proofErr w:type="spellStart"/>
      <w:r w:rsidRPr="008814D3">
        <w:rPr>
          <w:rFonts w:ascii="Calibri" w:hAnsi="Calibri" w:cs="Calibri"/>
          <w:szCs w:val="22"/>
        </w:rPr>
        <w:t>Rozin</w:t>
      </w:r>
      <w:proofErr w:type="spellEnd"/>
      <w:r w:rsidRPr="008814D3">
        <w:rPr>
          <w:rFonts w:ascii="Calibri" w:hAnsi="Calibri" w:cs="Calibri"/>
          <w:szCs w:val="22"/>
        </w:rPr>
        <w:t xml:space="preserve">, 2001). </w:t>
      </w:r>
      <w:r w:rsidR="00A26788">
        <w:rPr>
          <w:rFonts w:ascii="Calibri" w:hAnsi="Calibri" w:cs="Calibri"/>
          <w:szCs w:val="22"/>
        </w:rPr>
        <w:t xml:space="preserve">Samuel </w:t>
      </w:r>
      <w:r w:rsidRPr="008814D3">
        <w:rPr>
          <w:rFonts w:ascii="Calibri" w:hAnsi="Calibri" w:cs="Calibri"/>
          <w:szCs w:val="22"/>
        </w:rPr>
        <w:t xml:space="preserve">Gosling </w:t>
      </w:r>
      <w:r w:rsidRPr="008814D3">
        <w:rPr>
          <w:rFonts w:ascii="Calibri" w:hAnsi="Calibri" w:cs="Calibri"/>
          <w:i/>
          <w:szCs w:val="22"/>
        </w:rPr>
        <w:t>et al.</w:t>
      </w:r>
      <w:r w:rsidRPr="008814D3">
        <w:rPr>
          <w:rFonts w:ascii="Calibri" w:hAnsi="Calibri" w:cs="Calibri"/>
          <w:szCs w:val="22"/>
        </w:rPr>
        <w:t xml:space="preserve"> (2004) found that social science research </w:t>
      </w:r>
      <w:r w:rsidR="009A1D23">
        <w:rPr>
          <w:rFonts w:ascii="Calibri" w:hAnsi="Calibri" w:cs="Calibri"/>
          <w:szCs w:val="22"/>
        </w:rPr>
        <w:t>article</w:t>
      </w:r>
      <w:r w:rsidR="00191E28">
        <w:rPr>
          <w:rFonts w:ascii="Calibri" w:hAnsi="Calibri" w:cs="Calibri"/>
          <w:szCs w:val="22"/>
        </w:rPr>
        <w:t xml:space="preserve">s </w:t>
      </w:r>
      <w:r w:rsidR="00742D10">
        <w:rPr>
          <w:rFonts w:ascii="Calibri" w:hAnsi="Calibri" w:cs="Calibri"/>
          <w:szCs w:val="22"/>
        </w:rPr>
        <w:t>purportedly r</w:t>
      </w:r>
      <w:r w:rsidR="009A1D23">
        <w:rPr>
          <w:rFonts w:ascii="Calibri" w:hAnsi="Calibri" w:cs="Calibri"/>
          <w:szCs w:val="22"/>
        </w:rPr>
        <w:t xml:space="preserve">epresenting the general population </w:t>
      </w:r>
      <w:r w:rsidR="00693788">
        <w:rPr>
          <w:rFonts w:ascii="Calibri" w:hAnsi="Calibri" w:cs="Calibri"/>
          <w:szCs w:val="22"/>
        </w:rPr>
        <w:t>were based on samples</w:t>
      </w:r>
      <w:r w:rsidR="006B43FF">
        <w:rPr>
          <w:rFonts w:ascii="Calibri" w:hAnsi="Calibri" w:cs="Calibri"/>
          <w:szCs w:val="22"/>
        </w:rPr>
        <w:t xml:space="preserve"> in which </w:t>
      </w:r>
      <w:r w:rsidRPr="008814D3">
        <w:rPr>
          <w:rFonts w:ascii="Calibri" w:hAnsi="Calibri" w:cs="Calibri"/>
          <w:szCs w:val="22"/>
        </w:rPr>
        <w:t xml:space="preserve">85 per cent </w:t>
      </w:r>
      <w:r w:rsidR="006B43FF">
        <w:rPr>
          <w:rFonts w:ascii="Calibri" w:hAnsi="Calibri" w:cs="Calibri"/>
          <w:szCs w:val="22"/>
        </w:rPr>
        <w:t xml:space="preserve">were </w:t>
      </w:r>
      <w:r w:rsidRPr="008814D3">
        <w:rPr>
          <w:rFonts w:ascii="Calibri" w:hAnsi="Calibri" w:cs="Calibri"/>
          <w:szCs w:val="22"/>
        </w:rPr>
        <w:t>undergraduate</w:t>
      </w:r>
      <w:r w:rsidR="00565FE0">
        <w:rPr>
          <w:rFonts w:ascii="Calibri" w:hAnsi="Calibri" w:cs="Calibri"/>
          <w:szCs w:val="22"/>
        </w:rPr>
        <w:t>s</w:t>
      </w:r>
      <w:r w:rsidRPr="008814D3">
        <w:rPr>
          <w:rFonts w:ascii="Calibri" w:hAnsi="Calibri" w:cs="Calibri"/>
          <w:szCs w:val="22"/>
        </w:rPr>
        <w:t xml:space="preserve">, 71 per cent of the participants were female, and over 80 per cent were </w:t>
      </w:r>
      <w:r w:rsidR="00984028">
        <w:rPr>
          <w:rFonts w:ascii="Calibri" w:hAnsi="Calibri" w:cs="Calibri"/>
          <w:szCs w:val="22"/>
        </w:rPr>
        <w:t>W</w:t>
      </w:r>
      <w:r w:rsidRPr="008814D3">
        <w:rPr>
          <w:rFonts w:ascii="Calibri" w:hAnsi="Calibri" w:cs="Calibri"/>
          <w:szCs w:val="22"/>
        </w:rPr>
        <w:t xml:space="preserve">hite. </w:t>
      </w:r>
      <w:r w:rsidR="002B474A">
        <w:rPr>
          <w:rFonts w:ascii="Calibri" w:hAnsi="Calibri" w:cs="Calibri"/>
          <w:szCs w:val="22"/>
        </w:rPr>
        <w:t xml:space="preserve">Joseph </w:t>
      </w:r>
      <w:r w:rsidRPr="008814D3">
        <w:rPr>
          <w:rFonts w:ascii="Calibri" w:hAnsi="Calibri" w:cs="Calibri"/>
          <w:szCs w:val="22"/>
        </w:rPr>
        <w:t xml:space="preserve">Henrich </w:t>
      </w:r>
      <w:r w:rsidRPr="008814D3">
        <w:rPr>
          <w:rFonts w:ascii="Calibri" w:hAnsi="Calibri" w:cs="Calibri"/>
          <w:i/>
          <w:szCs w:val="22"/>
        </w:rPr>
        <w:t>et al.</w:t>
      </w:r>
      <w:r w:rsidRPr="008814D3">
        <w:rPr>
          <w:rFonts w:ascii="Calibri" w:hAnsi="Calibri" w:cs="Calibri"/>
          <w:szCs w:val="22"/>
        </w:rPr>
        <w:t xml:space="preserve"> (2010) characterise much social research as being based on ‘WEIRD’ population samples –</w:t>
      </w:r>
      <w:r w:rsidRPr="008814D3">
        <w:rPr>
          <w:rFonts w:ascii="Calibri" w:hAnsi="Calibri" w:cs="Calibri"/>
          <w:szCs w:val="22"/>
          <w:shd w:val="clear" w:color="auto" w:fill="FFFFFF"/>
        </w:rPr>
        <w:t xml:space="preserve"> Western, Educated, Industriali</w:t>
      </w:r>
      <w:r w:rsidR="00936A92" w:rsidRPr="008814D3">
        <w:rPr>
          <w:rFonts w:ascii="Calibri" w:hAnsi="Calibri" w:cs="Calibri"/>
          <w:szCs w:val="22"/>
          <w:shd w:val="clear" w:color="auto" w:fill="FFFFFF"/>
        </w:rPr>
        <w:t>s</w:t>
      </w:r>
      <w:r w:rsidRPr="008814D3">
        <w:rPr>
          <w:rFonts w:ascii="Calibri" w:hAnsi="Calibri" w:cs="Calibri"/>
          <w:szCs w:val="22"/>
          <w:shd w:val="clear" w:color="auto" w:fill="FFFFFF"/>
        </w:rPr>
        <w:t>ed, Rich, and Democratic</w:t>
      </w:r>
      <w:r w:rsidRPr="008814D3">
        <w:rPr>
          <w:rFonts w:ascii="Calibri" w:hAnsi="Calibri" w:cs="Calibri"/>
          <w:szCs w:val="22"/>
        </w:rPr>
        <w:t xml:space="preserve">. </w:t>
      </w:r>
      <w:r w:rsidR="002B474A">
        <w:rPr>
          <w:rFonts w:ascii="Calibri" w:hAnsi="Calibri" w:cs="Calibri"/>
          <w:szCs w:val="22"/>
        </w:rPr>
        <w:t xml:space="preserve">Philippe </w:t>
      </w:r>
      <w:proofErr w:type="spellStart"/>
      <w:r w:rsidRPr="008814D3">
        <w:rPr>
          <w:rFonts w:ascii="Calibri" w:hAnsi="Calibri" w:cs="Calibri"/>
          <w:szCs w:val="22"/>
        </w:rPr>
        <w:t>Rochat</w:t>
      </w:r>
      <w:proofErr w:type="spellEnd"/>
      <w:r w:rsidRPr="008814D3">
        <w:rPr>
          <w:rFonts w:ascii="Calibri" w:hAnsi="Calibri" w:cs="Calibri"/>
          <w:szCs w:val="22"/>
        </w:rPr>
        <w:t xml:space="preserve"> (2010) points out that</w:t>
      </w:r>
      <w:r w:rsidR="002B474A">
        <w:rPr>
          <w:rFonts w:ascii="Calibri" w:hAnsi="Calibri" w:cs="Calibri"/>
          <w:szCs w:val="22"/>
        </w:rPr>
        <w:t>:</w:t>
      </w:r>
      <w:r w:rsidRPr="008814D3">
        <w:rPr>
          <w:rFonts w:ascii="Calibri" w:hAnsi="Calibri" w:cs="Calibri"/>
          <w:szCs w:val="22"/>
        </w:rPr>
        <w:t xml:space="preserve"> </w:t>
      </w:r>
    </w:p>
    <w:p w14:paraId="7FAF5653" w14:textId="77777777" w:rsidR="000E1A58" w:rsidRPr="008814D3" w:rsidRDefault="000E1A58" w:rsidP="005F3433">
      <w:pPr>
        <w:ind w:left="720"/>
        <w:rPr>
          <w:rFonts w:ascii="Calibri" w:hAnsi="Calibri" w:cs="Calibri"/>
          <w:szCs w:val="22"/>
        </w:rPr>
      </w:pPr>
    </w:p>
    <w:p w14:paraId="1DE2A817" w14:textId="048FBAF2" w:rsidR="005F3433" w:rsidRPr="008814D3" w:rsidRDefault="005F3433" w:rsidP="005F3433">
      <w:pPr>
        <w:ind w:left="720"/>
        <w:rPr>
          <w:rFonts w:ascii="Calibri" w:hAnsi="Calibri" w:cs="Calibri"/>
          <w:szCs w:val="22"/>
        </w:rPr>
      </w:pPr>
      <w:r w:rsidRPr="008814D3">
        <w:rPr>
          <w:rFonts w:ascii="Calibri" w:hAnsi="Calibri" w:cs="Calibri"/>
          <w:szCs w:val="22"/>
        </w:rPr>
        <w:t xml:space="preserve">in academia, </w:t>
      </w:r>
      <w:r w:rsidRPr="008814D3">
        <w:rPr>
          <w:rFonts w:ascii="Calibri" w:hAnsi="Calibri" w:cs="Calibri"/>
          <w:i/>
          <w:szCs w:val="22"/>
        </w:rPr>
        <w:t>a priori</w:t>
      </w:r>
      <w:r w:rsidRPr="008814D3">
        <w:rPr>
          <w:rFonts w:ascii="Calibri" w:hAnsi="Calibri" w:cs="Calibri"/>
          <w:szCs w:val="22"/>
        </w:rPr>
        <w:t xml:space="preserve"> claims of universality sell better than diversity, which complicates rather than simplifies matters. Universality claims get more attention because they are cleaner and sharper, encompassing control and predictive power … [with] greater impact and appeal. This tends to relegate diversity to noise rather than as a primary object of study. (</w:t>
      </w:r>
      <w:proofErr w:type="spellStart"/>
      <w:r w:rsidRPr="008814D3">
        <w:rPr>
          <w:rFonts w:ascii="Calibri" w:hAnsi="Calibri" w:cs="Calibri"/>
          <w:szCs w:val="22"/>
        </w:rPr>
        <w:t>Rochat</w:t>
      </w:r>
      <w:proofErr w:type="spellEnd"/>
      <w:r w:rsidRPr="008814D3">
        <w:rPr>
          <w:rFonts w:ascii="Calibri" w:hAnsi="Calibri" w:cs="Calibri"/>
          <w:szCs w:val="22"/>
        </w:rPr>
        <w:t>, 2010, p.</w:t>
      </w:r>
      <w:r w:rsidR="000E1A58" w:rsidRPr="008814D3">
        <w:rPr>
          <w:rFonts w:ascii="Calibri" w:hAnsi="Calibri" w:cs="Calibri"/>
          <w:szCs w:val="22"/>
        </w:rPr>
        <w:t xml:space="preserve"> </w:t>
      </w:r>
      <w:r w:rsidRPr="008814D3">
        <w:rPr>
          <w:rFonts w:ascii="Calibri" w:hAnsi="Calibri" w:cs="Calibri"/>
          <w:szCs w:val="22"/>
        </w:rPr>
        <w:t>107)</w:t>
      </w:r>
    </w:p>
    <w:p w14:paraId="1B57345A" w14:textId="77777777" w:rsidR="005F3433" w:rsidRPr="008814D3" w:rsidRDefault="005F3433" w:rsidP="005F3433">
      <w:pPr>
        <w:ind w:left="720"/>
        <w:rPr>
          <w:rFonts w:ascii="Calibri" w:hAnsi="Calibri" w:cs="Calibri"/>
          <w:szCs w:val="22"/>
        </w:rPr>
      </w:pPr>
      <w:r w:rsidRPr="008814D3">
        <w:rPr>
          <w:rFonts w:ascii="Calibri" w:hAnsi="Calibri" w:cs="Calibri"/>
          <w:szCs w:val="22"/>
        </w:rPr>
        <w:t xml:space="preserve"> </w:t>
      </w:r>
    </w:p>
    <w:p w14:paraId="7B802ACC" w14:textId="64029333" w:rsidR="005F3433" w:rsidRPr="008814D3" w:rsidRDefault="005F3433" w:rsidP="005F3433">
      <w:pPr>
        <w:rPr>
          <w:rFonts w:ascii="Calibri" w:hAnsi="Calibri" w:cs="Calibri"/>
          <w:szCs w:val="22"/>
        </w:rPr>
      </w:pPr>
      <w:r w:rsidRPr="008814D3">
        <w:rPr>
          <w:rFonts w:ascii="Calibri" w:hAnsi="Calibri" w:cs="Calibri"/>
          <w:szCs w:val="22"/>
        </w:rPr>
        <w:t>The social subject is, by definition, socially constructed, and its activities take place within the context of social interactions (Hammersley, 1997).</w:t>
      </w:r>
      <w:r w:rsidR="00CA0AEB">
        <w:rPr>
          <w:rFonts w:ascii="Calibri" w:hAnsi="Calibri" w:cs="Calibri"/>
          <w:szCs w:val="22"/>
        </w:rPr>
        <w:t xml:space="preserve"> </w:t>
      </w:r>
      <w:r w:rsidRPr="008814D3">
        <w:rPr>
          <w:rFonts w:ascii="Calibri" w:hAnsi="Calibri" w:cs="Calibri"/>
          <w:szCs w:val="22"/>
        </w:rPr>
        <w:t xml:space="preserve">The subjects of the processes of learning – students, teachers, school leaders and policy makers – are grouped and classified as having particular identity characteristics that are often regarded as essentialised and immutable. </w:t>
      </w:r>
      <w:r w:rsidR="00432373">
        <w:rPr>
          <w:rFonts w:ascii="Calibri" w:hAnsi="Calibri" w:cs="Calibri"/>
          <w:szCs w:val="22"/>
        </w:rPr>
        <w:t>It can be argued t</w:t>
      </w:r>
      <w:r w:rsidR="0014377E">
        <w:rPr>
          <w:rFonts w:ascii="Calibri" w:hAnsi="Calibri" w:cs="Calibri"/>
          <w:szCs w:val="22"/>
        </w:rPr>
        <w:t>h</w:t>
      </w:r>
      <w:r w:rsidR="00432373">
        <w:rPr>
          <w:rFonts w:ascii="Calibri" w:hAnsi="Calibri" w:cs="Calibri"/>
          <w:szCs w:val="22"/>
        </w:rPr>
        <w:t>at e</w:t>
      </w:r>
      <w:r w:rsidRPr="008814D3">
        <w:rPr>
          <w:rFonts w:ascii="Calibri" w:hAnsi="Calibri" w:cs="Calibri"/>
          <w:szCs w:val="22"/>
        </w:rPr>
        <w:t xml:space="preserve">ven what the individual might think to be an intrinsic and natural </w:t>
      </w:r>
      <w:r w:rsidR="0017225B">
        <w:rPr>
          <w:rFonts w:ascii="Calibri" w:hAnsi="Calibri" w:cs="Calibri"/>
          <w:szCs w:val="22"/>
        </w:rPr>
        <w:t xml:space="preserve">element of their </w:t>
      </w:r>
      <w:r w:rsidRPr="008814D3">
        <w:rPr>
          <w:rFonts w:ascii="Calibri" w:hAnsi="Calibri" w:cs="Calibri"/>
          <w:szCs w:val="22"/>
        </w:rPr>
        <w:t>identity is</w:t>
      </w:r>
      <w:r w:rsidR="0014377E">
        <w:rPr>
          <w:rFonts w:ascii="Calibri" w:hAnsi="Calibri" w:cs="Calibri"/>
          <w:szCs w:val="22"/>
        </w:rPr>
        <w:t xml:space="preserve"> </w:t>
      </w:r>
      <w:r w:rsidR="00E52F26">
        <w:rPr>
          <w:rFonts w:ascii="Calibri" w:hAnsi="Calibri" w:cs="Calibri"/>
          <w:szCs w:val="22"/>
        </w:rPr>
        <w:t>at least partially</w:t>
      </w:r>
      <w:r w:rsidRPr="008814D3">
        <w:rPr>
          <w:rFonts w:ascii="Calibri" w:hAnsi="Calibri" w:cs="Calibri"/>
          <w:szCs w:val="22"/>
        </w:rPr>
        <w:t xml:space="preserve"> determined by social interaction (Foucault, 1977</w:t>
      </w:r>
      <w:r w:rsidR="0032237C" w:rsidRPr="008814D3">
        <w:rPr>
          <w:rFonts w:ascii="Calibri" w:hAnsi="Calibri" w:cs="Calibri"/>
          <w:szCs w:val="22"/>
        </w:rPr>
        <w:t xml:space="preserve"> [1</w:t>
      </w:r>
      <w:r w:rsidR="00BD0B38" w:rsidRPr="008814D3">
        <w:rPr>
          <w:rFonts w:ascii="Calibri" w:hAnsi="Calibri" w:cs="Calibri"/>
          <w:szCs w:val="22"/>
        </w:rPr>
        <w:t>9</w:t>
      </w:r>
      <w:r w:rsidR="0032237C" w:rsidRPr="008814D3">
        <w:rPr>
          <w:rFonts w:ascii="Calibri" w:hAnsi="Calibri" w:cs="Calibri"/>
          <w:szCs w:val="22"/>
        </w:rPr>
        <w:t>75]</w:t>
      </w:r>
      <w:r w:rsidRPr="008814D3">
        <w:rPr>
          <w:rFonts w:ascii="Calibri" w:hAnsi="Calibri" w:cs="Calibri"/>
          <w:szCs w:val="22"/>
        </w:rPr>
        <w:t>; Brubaker, 2016). Social constructivism is based on the premise that we can only develop our sense of self-identity through social processes: all our identities are socially determined as we define ourselves in relationship to others, whether in a direct relationship or as the same as or different to the other. Others will also be simultaneously defining our identity in their terms, based on their perceptions and constructions of wh</w:t>
      </w:r>
      <w:r w:rsidR="00A73DA6">
        <w:rPr>
          <w:rFonts w:ascii="Calibri" w:hAnsi="Calibri" w:cs="Calibri"/>
          <w:szCs w:val="22"/>
        </w:rPr>
        <w:t xml:space="preserve">at </w:t>
      </w:r>
      <w:r w:rsidRPr="008814D3">
        <w:rPr>
          <w:rFonts w:ascii="Calibri" w:hAnsi="Calibri" w:cs="Calibri"/>
          <w:szCs w:val="22"/>
        </w:rPr>
        <w:t xml:space="preserve">they think </w:t>
      </w:r>
      <w:r w:rsidR="00A126B8" w:rsidRPr="008814D3">
        <w:rPr>
          <w:rFonts w:ascii="Calibri" w:hAnsi="Calibri" w:cs="Calibri"/>
          <w:szCs w:val="22"/>
        </w:rPr>
        <w:t>–</w:t>
      </w:r>
      <w:r w:rsidR="008131D7">
        <w:rPr>
          <w:rFonts w:ascii="Calibri" w:hAnsi="Calibri" w:cs="Calibri"/>
          <w:szCs w:val="22"/>
        </w:rPr>
        <w:t xml:space="preserve"> </w:t>
      </w:r>
      <w:r w:rsidRPr="008814D3">
        <w:rPr>
          <w:rFonts w:ascii="Calibri" w:hAnsi="Calibri" w:cs="Calibri"/>
          <w:szCs w:val="22"/>
        </w:rPr>
        <w:t xml:space="preserve">or assume </w:t>
      </w:r>
      <w:r w:rsidR="00A126B8" w:rsidRPr="008814D3">
        <w:rPr>
          <w:rFonts w:ascii="Calibri" w:hAnsi="Calibri" w:cs="Calibri"/>
          <w:szCs w:val="22"/>
        </w:rPr>
        <w:t>–</w:t>
      </w:r>
      <w:r w:rsidR="008131D7">
        <w:rPr>
          <w:rFonts w:ascii="Calibri" w:hAnsi="Calibri" w:cs="Calibri"/>
          <w:szCs w:val="22"/>
        </w:rPr>
        <w:t xml:space="preserve"> </w:t>
      </w:r>
      <w:r w:rsidRPr="008814D3">
        <w:rPr>
          <w:rFonts w:ascii="Calibri" w:hAnsi="Calibri" w:cs="Calibri"/>
          <w:szCs w:val="22"/>
        </w:rPr>
        <w:t>our identity to be, and this will not always correspond, and might even be the opposite of the identities we wish to assume.</w:t>
      </w:r>
    </w:p>
    <w:p w14:paraId="7EF6C699" w14:textId="77777777" w:rsidR="005F3433" w:rsidRPr="008814D3" w:rsidRDefault="005F3433" w:rsidP="005F3433">
      <w:pPr>
        <w:rPr>
          <w:rFonts w:ascii="Calibri" w:hAnsi="Calibri" w:cs="Calibri"/>
          <w:szCs w:val="22"/>
        </w:rPr>
      </w:pPr>
    </w:p>
    <w:p w14:paraId="39F40C01" w14:textId="5E160FE1" w:rsidR="006C23C4" w:rsidRPr="008814D3" w:rsidRDefault="005F3433" w:rsidP="005F3433">
      <w:pPr>
        <w:rPr>
          <w:rFonts w:ascii="Calibri" w:hAnsi="Calibri" w:cs="Calibri"/>
          <w:szCs w:val="22"/>
        </w:rPr>
      </w:pPr>
      <w:r w:rsidRPr="008814D3">
        <w:rPr>
          <w:rFonts w:ascii="Calibri" w:hAnsi="Calibri" w:cs="Calibri"/>
          <w:szCs w:val="22"/>
        </w:rPr>
        <w:t xml:space="preserve">Categories of nationality, citizenship and ethnicity are not fixed and predetermined, but dynamically constructed. </w:t>
      </w:r>
      <w:r w:rsidR="00AB6A7C">
        <w:rPr>
          <w:rFonts w:ascii="Calibri" w:hAnsi="Calibri" w:cs="Calibri"/>
          <w:szCs w:val="22"/>
        </w:rPr>
        <w:t xml:space="preserve">Francesca </w:t>
      </w:r>
      <w:r w:rsidRPr="008814D3">
        <w:rPr>
          <w:rFonts w:ascii="Calibri" w:hAnsi="Calibri" w:cs="Calibri"/>
          <w:szCs w:val="22"/>
        </w:rPr>
        <w:t xml:space="preserve">Decimo and </w:t>
      </w:r>
      <w:r w:rsidR="00AB6A7C">
        <w:rPr>
          <w:rFonts w:ascii="Calibri" w:hAnsi="Calibri" w:cs="Calibri"/>
          <w:szCs w:val="22"/>
        </w:rPr>
        <w:t xml:space="preserve">Alessandra </w:t>
      </w:r>
      <w:proofErr w:type="spellStart"/>
      <w:r w:rsidRPr="008814D3">
        <w:rPr>
          <w:rFonts w:ascii="Calibri" w:hAnsi="Calibri" w:cs="Calibri"/>
          <w:szCs w:val="22"/>
        </w:rPr>
        <w:t>Gribaldo</w:t>
      </w:r>
      <w:proofErr w:type="spellEnd"/>
      <w:r w:rsidRPr="008814D3">
        <w:rPr>
          <w:rFonts w:ascii="Calibri" w:hAnsi="Calibri" w:cs="Calibri"/>
          <w:szCs w:val="22"/>
        </w:rPr>
        <w:t xml:space="preserve"> (2017) have referred to</w:t>
      </w:r>
      <w:r w:rsidR="00AB6A7C">
        <w:rPr>
          <w:rFonts w:ascii="Calibri" w:hAnsi="Calibri" w:cs="Calibri"/>
          <w:szCs w:val="22"/>
        </w:rPr>
        <w:t>:</w:t>
      </w:r>
    </w:p>
    <w:p w14:paraId="5C2DCA66" w14:textId="4AC67144" w:rsidR="005F3433" w:rsidRPr="008814D3" w:rsidRDefault="005F3433" w:rsidP="005F3433">
      <w:pPr>
        <w:rPr>
          <w:rFonts w:ascii="Calibri" w:hAnsi="Calibri" w:cs="Calibri"/>
          <w:szCs w:val="22"/>
        </w:rPr>
      </w:pPr>
      <w:r w:rsidRPr="008814D3">
        <w:rPr>
          <w:rFonts w:ascii="Calibri" w:hAnsi="Calibri" w:cs="Calibri"/>
          <w:szCs w:val="22"/>
        </w:rPr>
        <w:t xml:space="preserve"> </w:t>
      </w:r>
    </w:p>
    <w:p w14:paraId="63BA9DC5" w14:textId="627D5515" w:rsidR="005F3433" w:rsidRPr="008814D3" w:rsidRDefault="005F3433" w:rsidP="005F3433">
      <w:pPr>
        <w:ind w:left="720"/>
        <w:rPr>
          <w:rFonts w:ascii="Calibri" w:hAnsi="Calibri" w:cs="Calibri"/>
          <w:szCs w:val="22"/>
        </w:rPr>
      </w:pPr>
      <w:r w:rsidRPr="008814D3">
        <w:rPr>
          <w:rFonts w:ascii="Calibri" w:hAnsi="Calibri" w:cs="Calibri"/>
          <w:szCs w:val="22"/>
        </w:rPr>
        <w:t xml:space="preserve">the strain of categorization and the proliferation of boundaries … Census records, vital records, passports, identification documents, church records and medical research data establish and grant materiality to the categorisations that inform our identities: beyond sex and age, they designate citizenship, nationality, lineage, religion, ancestry, health, language, ethnicity and race. (Decimo and </w:t>
      </w:r>
      <w:proofErr w:type="spellStart"/>
      <w:r w:rsidRPr="008814D3">
        <w:rPr>
          <w:rFonts w:ascii="Calibri" w:hAnsi="Calibri" w:cs="Calibri"/>
          <w:szCs w:val="22"/>
        </w:rPr>
        <w:t>Gribaldo</w:t>
      </w:r>
      <w:proofErr w:type="spellEnd"/>
      <w:r w:rsidRPr="008814D3">
        <w:rPr>
          <w:rFonts w:ascii="Calibri" w:hAnsi="Calibri" w:cs="Calibri"/>
          <w:szCs w:val="22"/>
        </w:rPr>
        <w:t>, 2017, p.</w:t>
      </w:r>
      <w:r w:rsidR="006C23C4" w:rsidRPr="008814D3">
        <w:rPr>
          <w:rFonts w:ascii="Calibri" w:hAnsi="Calibri" w:cs="Calibri"/>
          <w:szCs w:val="22"/>
        </w:rPr>
        <w:t xml:space="preserve"> </w:t>
      </w:r>
      <w:r w:rsidRPr="008814D3">
        <w:rPr>
          <w:rFonts w:ascii="Calibri" w:hAnsi="Calibri" w:cs="Calibri"/>
          <w:szCs w:val="22"/>
        </w:rPr>
        <w:t>5)</w:t>
      </w:r>
    </w:p>
    <w:p w14:paraId="09436BEE" w14:textId="77777777" w:rsidR="005F3433" w:rsidRPr="008814D3" w:rsidRDefault="005F3433" w:rsidP="005F3433">
      <w:pPr>
        <w:rPr>
          <w:rFonts w:ascii="Calibri" w:hAnsi="Calibri" w:cs="Calibri"/>
          <w:szCs w:val="22"/>
        </w:rPr>
      </w:pPr>
    </w:p>
    <w:p w14:paraId="7A90495F" w14:textId="1C5D253B" w:rsidR="005F3433" w:rsidRPr="008814D3" w:rsidRDefault="005F3433" w:rsidP="005F3433">
      <w:pPr>
        <w:rPr>
          <w:rFonts w:ascii="Calibri" w:hAnsi="Calibri" w:cs="Calibri"/>
          <w:szCs w:val="22"/>
        </w:rPr>
      </w:pPr>
      <w:r w:rsidRPr="008814D3">
        <w:rPr>
          <w:rFonts w:ascii="Calibri" w:hAnsi="Calibri" w:cs="Calibri"/>
          <w:szCs w:val="22"/>
        </w:rPr>
        <w:t xml:space="preserve">Modern states require the classification of their populations: </w:t>
      </w:r>
      <w:r w:rsidR="006A7C6B">
        <w:rPr>
          <w:rFonts w:ascii="Calibri" w:hAnsi="Calibri" w:cs="Calibri"/>
          <w:szCs w:val="22"/>
        </w:rPr>
        <w:t xml:space="preserve">Benedict </w:t>
      </w:r>
      <w:r w:rsidRPr="008814D3">
        <w:rPr>
          <w:rFonts w:ascii="Calibri" w:hAnsi="Calibri" w:cs="Calibri"/>
          <w:szCs w:val="22"/>
        </w:rPr>
        <w:t xml:space="preserve">Anderson pointed to their need to distinguish between </w:t>
      </w:r>
      <w:r w:rsidR="006C23C4" w:rsidRPr="008814D3">
        <w:rPr>
          <w:rFonts w:ascii="Calibri" w:hAnsi="Calibri" w:cs="Calibri"/>
          <w:szCs w:val="22"/>
        </w:rPr>
        <w:t>‘</w:t>
      </w:r>
      <w:r w:rsidRPr="008814D3">
        <w:rPr>
          <w:rFonts w:ascii="Calibri" w:hAnsi="Calibri" w:cs="Calibri"/>
          <w:szCs w:val="22"/>
        </w:rPr>
        <w:t>peoples, regions, religions, languages</w:t>
      </w:r>
      <w:r w:rsidR="006C23C4" w:rsidRPr="008814D3">
        <w:rPr>
          <w:rFonts w:ascii="Calibri" w:hAnsi="Calibri" w:cs="Calibri"/>
          <w:szCs w:val="22"/>
        </w:rPr>
        <w:t>’</w:t>
      </w:r>
      <w:r w:rsidRPr="008814D3">
        <w:rPr>
          <w:rFonts w:ascii="Calibri" w:hAnsi="Calibri" w:cs="Calibri"/>
          <w:szCs w:val="22"/>
        </w:rPr>
        <w:t xml:space="preserve"> in order to impose a </w:t>
      </w:r>
      <w:r w:rsidR="00BA5948" w:rsidRPr="008814D3">
        <w:rPr>
          <w:rFonts w:ascii="Calibri" w:hAnsi="Calibri" w:cs="Calibri"/>
          <w:szCs w:val="22"/>
        </w:rPr>
        <w:t>‘</w:t>
      </w:r>
      <w:r w:rsidRPr="008814D3">
        <w:rPr>
          <w:rFonts w:ascii="Calibri" w:hAnsi="Calibri" w:cs="Calibri"/>
          <w:szCs w:val="22"/>
        </w:rPr>
        <w:t>totalizing classificatory grid</w:t>
      </w:r>
      <w:r w:rsidR="00BA5948" w:rsidRPr="008814D3">
        <w:rPr>
          <w:rFonts w:ascii="Calibri" w:hAnsi="Calibri" w:cs="Calibri"/>
          <w:szCs w:val="22"/>
        </w:rPr>
        <w:t>’</w:t>
      </w:r>
      <w:r w:rsidRPr="008814D3">
        <w:rPr>
          <w:rFonts w:ascii="Calibri" w:hAnsi="Calibri" w:cs="Calibri"/>
          <w:szCs w:val="22"/>
        </w:rPr>
        <w:t xml:space="preserve"> (Anderson, 1991, p.</w:t>
      </w:r>
      <w:r w:rsidR="00350AB1" w:rsidRPr="008814D3">
        <w:rPr>
          <w:rFonts w:ascii="Calibri" w:hAnsi="Calibri" w:cs="Calibri"/>
          <w:szCs w:val="22"/>
        </w:rPr>
        <w:t xml:space="preserve"> </w:t>
      </w:r>
      <w:r w:rsidRPr="008814D3">
        <w:rPr>
          <w:rFonts w:ascii="Calibri" w:hAnsi="Calibri" w:cs="Calibri"/>
          <w:szCs w:val="22"/>
        </w:rPr>
        <w:t xml:space="preserve">184). A Foucauldian model of the surveillance of state is used by </w:t>
      </w:r>
      <w:r w:rsidR="00AB6A7C">
        <w:rPr>
          <w:rFonts w:ascii="Calibri" w:hAnsi="Calibri" w:cs="Calibri"/>
          <w:szCs w:val="22"/>
        </w:rPr>
        <w:t xml:space="preserve">David </w:t>
      </w:r>
      <w:proofErr w:type="spellStart"/>
      <w:r w:rsidRPr="008814D3">
        <w:rPr>
          <w:rFonts w:ascii="Calibri" w:hAnsi="Calibri" w:cs="Calibri"/>
          <w:szCs w:val="22"/>
        </w:rPr>
        <w:t>Kertzer</w:t>
      </w:r>
      <w:proofErr w:type="spellEnd"/>
      <w:r w:rsidRPr="008814D3">
        <w:rPr>
          <w:rFonts w:ascii="Calibri" w:hAnsi="Calibri" w:cs="Calibri"/>
          <w:szCs w:val="22"/>
        </w:rPr>
        <w:t xml:space="preserve"> and </w:t>
      </w:r>
      <w:r w:rsidR="00AB6A7C">
        <w:rPr>
          <w:rFonts w:ascii="Calibri" w:hAnsi="Calibri" w:cs="Calibri"/>
          <w:szCs w:val="22"/>
        </w:rPr>
        <w:t xml:space="preserve">Dominique </w:t>
      </w:r>
      <w:proofErr w:type="spellStart"/>
      <w:r w:rsidRPr="008814D3">
        <w:rPr>
          <w:rFonts w:ascii="Calibri" w:hAnsi="Calibri" w:cs="Calibri"/>
          <w:szCs w:val="22"/>
        </w:rPr>
        <w:t>Arel</w:t>
      </w:r>
      <w:proofErr w:type="spellEnd"/>
      <w:r w:rsidRPr="008814D3">
        <w:rPr>
          <w:rFonts w:ascii="Calibri" w:hAnsi="Calibri" w:cs="Calibri"/>
          <w:szCs w:val="22"/>
        </w:rPr>
        <w:t xml:space="preserve"> to explain how </w:t>
      </w:r>
      <w:r w:rsidR="00A174D8" w:rsidRPr="008814D3">
        <w:rPr>
          <w:rFonts w:ascii="Calibri" w:hAnsi="Calibri" w:cs="Calibri"/>
          <w:szCs w:val="22"/>
        </w:rPr>
        <w:t>‘</w:t>
      </w:r>
      <w:r w:rsidRPr="008814D3">
        <w:rPr>
          <w:rFonts w:ascii="Calibri" w:hAnsi="Calibri" w:cs="Calibri"/>
          <w:szCs w:val="22"/>
        </w:rPr>
        <w:t>the use of identity categories … creates a particular vision of social reality. All people are assigned to a single category, and are hence conceptualised as sharing, with a certain number of others, a common collective identity</w:t>
      </w:r>
      <w:r w:rsidR="00A174D8" w:rsidRPr="008814D3">
        <w:rPr>
          <w:rFonts w:ascii="Calibri" w:hAnsi="Calibri" w:cs="Calibri"/>
          <w:szCs w:val="22"/>
        </w:rPr>
        <w:t>’</w:t>
      </w:r>
      <w:r w:rsidRPr="008814D3">
        <w:rPr>
          <w:rFonts w:ascii="Calibri" w:hAnsi="Calibri" w:cs="Calibri"/>
          <w:szCs w:val="22"/>
        </w:rPr>
        <w:t xml:space="preserve"> (</w:t>
      </w:r>
      <w:proofErr w:type="spellStart"/>
      <w:r w:rsidRPr="008814D3">
        <w:rPr>
          <w:rFonts w:ascii="Calibri" w:hAnsi="Calibri" w:cs="Calibri"/>
          <w:szCs w:val="22"/>
        </w:rPr>
        <w:t>Kertzer</w:t>
      </w:r>
      <w:proofErr w:type="spellEnd"/>
      <w:r w:rsidRPr="008814D3">
        <w:rPr>
          <w:rFonts w:ascii="Calibri" w:hAnsi="Calibri" w:cs="Calibri"/>
          <w:szCs w:val="22"/>
        </w:rPr>
        <w:t xml:space="preserve"> and </w:t>
      </w:r>
      <w:proofErr w:type="spellStart"/>
      <w:r w:rsidRPr="008814D3">
        <w:rPr>
          <w:rFonts w:ascii="Calibri" w:hAnsi="Calibri" w:cs="Calibri"/>
          <w:szCs w:val="22"/>
        </w:rPr>
        <w:t>Arel</w:t>
      </w:r>
      <w:proofErr w:type="spellEnd"/>
      <w:r w:rsidRPr="008814D3">
        <w:rPr>
          <w:rFonts w:ascii="Calibri" w:hAnsi="Calibri" w:cs="Calibri"/>
          <w:szCs w:val="22"/>
        </w:rPr>
        <w:t>, 2002, p.</w:t>
      </w:r>
      <w:r w:rsidR="00A174D8" w:rsidRPr="008814D3">
        <w:rPr>
          <w:rFonts w:ascii="Calibri" w:hAnsi="Calibri" w:cs="Calibri"/>
          <w:szCs w:val="22"/>
        </w:rPr>
        <w:t xml:space="preserve"> </w:t>
      </w:r>
      <w:r w:rsidRPr="008814D3">
        <w:rPr>
          <w:rFonts w:ascii="Calibri" w:hAnsi="Calibri" w:cs="Calibri"/>
          <w:szCs w:val="22"/>
        </w:rPr>
        <w:t xml:space="preserve">5; also Nicoll </w:t>
      </w:r>
      <w:r w:rsidRPr="008814D3">
        <w:rPr>
          <w:rFonts w:ascii="Calibri" w:hAnsi="Calibri" w:cs="Calibri"/>
          <w:i/>
          <w:szCs w:val="22"/>
        </w:rPr>
        <w:t xml:space="preserve">et al., </w:t>
      </w:r>
      <w:r w:rsidRPr="008814D3">
        <w:rPr>
          <w:rFonts w:ascii="Calibri" w:hAnsi="Calibri" w:cs="Calibri"/>
          <w:szCs w:val="22"/>
        </w:rPr>
        <w:t>2013)</w:t>
      </w:r>
      <w:r w:rsidRPr="008814D3">
        <w:rPr>
          <w:rFonts w:ascii="Calibri" w:hAnsi="Calibri" w:cs="Calibri"/>
          <w:i/>
          <w:szCs w:val="22"/>
        </w:rPr>
        <w:t>.</w:t>
      </w:r>
      <w:r w:rsidRPr="008814D3">
        <w:rPr>
          <w:rFonts w:ascii="Calibri" w:hAnsi="Calibri" w:cs="Calibri"/>
          <w:szCs w:val="22"/>
        </w:rPr>
        <w:t xml:space="preserve"> Instead of situationally-determined complex social linkages, the reification process of identity categories creates neat boundaries between mutually exclusive groups (</w:t>
      </w:r>
      <w:proofErr w:type="spellStart"/>
      <w:r w:rsidRPr="008814D3">
        <w:rPr>
          <w:rFonts w:ascii="Calibri" w:hAnsi="Calibri" w:cs="Calibri"/>
          <w:szCs w:val="22"/>
        </w:rPr>
        <w:t>Kertzer</w:t>
      </w:r>
      <w:proofErr w:type="spellEnd"/>
      <w:r w:rsidRPr="008814D3">
        <w:rPr>
          <w:rFonts w:ascii="Calibri" w:hAnsi="Calibri" w:cs="Calibri"/>
          <w:szCs w:val="22"/>
        </w:rPr>
        <w:t>, 2017). The process of enumeration and assignation through</w:t>
      </w:r>
      <w:r w:rsidR="00AB6A7C">
        <w:rPr>
          <w:rFonts w:ascii="Calibri" w:hAnsi="Calibri" w:cs="Calibri"/>
          <w:szCs w:val="22"/>
        </w:rPr>
        <w:t>:</w:t>
      </w:r>
      <w:r w:rsidRPr="008814D3">
        <w:rPr>
          <w:rFonts w:ascii="Calibri" w:hAnsi="Calibri" w:cs="Calibri"/>
          <w:szCs w:val="22"/>
        </w:rPr>
        <w:t xml:space="preserve"> </w:t>
      </w:r>
    </w:p>
    <w:p w14:paraId="24304801" w14:textId="77777777" w:rsidR="00A174D8" w:rsidRPr="008814D3" w:rsidRDefault="00A174D8" w:rsidP="005F3433">
      <w:pPr>
        <w:rPr>
          <w:rFonts w:ascii="Calibri" w:hAnsi="Calibri" w:cs="Calibri"/>
          <w:szCs w:val="22"/>
        </w:rPr>
      </w:pPr>
    </w:p>
    <w:p w14:paraId="0C5BBF65" w14:textId="345672B8" w:rsidR="005F3433" w:rsidRPr="008814D3" w:rsidRDefault="005F3433" w:rsidP="005F3433">
      <w:pPr>
        <w:ind w:left="720"/>
        <w:rPr>
          <w:rFonts w:ascii="Calibri" w:hAnsi="Calibri" w:cs="Calibri"/>
          <w:szCs w:val="22"/>
        </w:rPr>
      </w:pPr>
      <w:r w:rsidRPr="008814D3">
        <w:rPr>
          <w:rFonts w:ascii="Calibri" w:hAnsi="Calibri" w:cs="Calibri"/>
          <w:szCs w:val="22"/>
        </w:rPr>
        <w:t xml:space="preserve">… body-counts create not only types and classes … but also homogeneous bodies, because number, by its nature, flattens idiosyncrasies and creates boundaries around these homogeneous bodies, since it performatively limits their extent … Statistics are to bodies </w:t>
      </w:r>
      <w:r w:rsidRPr="008814D3">
        <w:rPr>
          <w:rFonts w:ascii="Calibri" w:hAnsi="Calibri" w:cs="Calibri"/>
          <w:szCs w:val="22"/>
        </w:rPr>
        <w:lastRenderedPageBreak/>
        <w:t>and social types what maps are to territories: they flatten and enclose. (Appadurai, 1996, p.</w:t>
      </w:r>
      <w:r w:rsidR="00A174D8" w:rsidRPr="008814D3">
        <w:rPr>
          <w:rFonts w:ascii="Calibri" w:hAnsi="Calibri" w:cs="Calibri"/>
          <w:szCs w:val="22"/>
        </w:rPr>
        <w:t xml:space="preserve"> </w:t>
      </w:r>
      <w:r w:rsidRPr="008814D3">
        <w:rPr>
          <w:rFonts w:ascii="Calibri" w:hAnsi="Calibri" w:cs="Calibri"/>
          <w:szCs w:val="22"/>
        </w:rPr>
        <w:t xml:space="preserve">133) </w:t>
      </w:r>
    </w:p>
    <w:p w14:paraId="20B0A92A" w14:textId="77777777" w:rsidR="00A174D8" w:rsidRPr="008814D3" w:rsidRDefault="00A174D8" w:rsidP="005F3433">
      <w:pPr>
        <w:rPr>
          <w:rFonts w:ascii="Calibri" w:hAnsi="Calibri" w:cs="Calibri"/>
          <w:szCs w:val="22"/>
        </w:rPr>
      </w:pPr>
    </w:p>
    <w:p w14:paraId="36CA3F2A" w14:textId="176A234A" w:rsidR="005F3433" w:rsidRPr="008814D3" w:rsidRDefault="005F3433" w:rsidP="005F3433">
      <w:pPr>
        <w:rPr>
          <w:rFonts w:ascii="Calibri" w:hAnsi="Calibri" w:cs="Calibri"/>
          <w:szCs w:val="22"/>
        </w:rPr>
      </w:pPr>
      <w:r w:rsidRPr="008814D3">
        <w:rPr>
          <w:rFonts w:ascii="Calibri" w:hAnsi="Calibri" w:cs="Calibri"/>
          <w:szCs w:val="22"/>
        </w:rPr>
        <w:t>The presumption that everyone will easily fit into such groups becomes increasingly unlikely as migration patterns in Europe are creating new diversities: more people of mixed origins makes it increasingly difficult to use these identity categories (</w:t>
      </w:r>
      <w:proofErr w:type="spellStart"/>
      <w:r w:rsidRPr="008814D3">
        <w:rPr>
          <w:rFonts w:ascii="Calibri" w:hAnsi="Calibri" w:cs="Calibri"/>
          <w:szCs w:val="22"/>
        </w:rPr>
        <w:t>Vertovec</w:t>
      </w:r>
      <w:proofErr w:type="spellEnd"/>
      <w:r w:rsidRPr="008814D3">
        <w:rPr>
          <w:rFonts w:ascii="Calibri" w:hAnsi="Calibri" w:cs="Calibri"/>
          <w:szCs w:val="22"/>
        </w:rPr>
        <w:t>, 2007).</w:t>
      </w:r>
      <w:r w:rsidR="00CA0AEB">
        <w:rPr>
          <w:rFonts w:ascii="Calibri" w:hAnsi="Calibri" w:cs="Calibri"/>
          <w:szCs w:val="22"/>
        </w:rPr>
        <w:t xml:space="preserve"> </w:t>
      </w:r>
    </w:p>
    <w:p w14:paraId="07E5EDF3" w14:textId="77777777" w:rsidR="005F3433" w:rsidRPr="008814D3" w:rsidRDefault="005F3433" w:rsidP="005F3433">
      <w:pPr>
        <w:shd w:val="clear" w:color="auto" w:fill="FFFFFF"/>
        <w:rPr>
          <w:rFonts w:ascii="Calibri" w:hAnsi="Calibri" w:cs="Calibri"/>
          <w:szCs w:val="22"/>
        </w:rPr>
      </w:pPr>
    </w:p>
    <w:p w14:paraId="1AE645E4" w14:textId="54DF03FE"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These issues – of ontology, of measurement, of reproducibility and reliability, of sampling and categorisation – significantly impact on educational research directed towards developing policies of social justice and equity.</w:t>
      </w:r>
      <w:r w:rsidR="00CA0AEB">
        <w:rPr>
          <w:rFonts w:ascii="Calibri" w:hAnsi="Calibri" w:cs="Calibri"/>
          <w:szCs w:val="22"/>
        </w:rPr>
        <w:t xml:space="preserve"> </w:t>
      </w:r>
      <w:r w:rsidRPr="008814D3">
        <w:rPr>
          <w:rFonts w:ascii="Calibri" w:hAnsi="Calibri" w:cs="Calibri"/>
          <w:szCs w:val="22"/>
        </w:rPr>
        <w:t xml:space="preserve">It is critical to recognise and emphasise the pragmatic compromises necessary in conducting research in these areas: </w:t>
      </w:r>
    </w:p>
    <w:p w14:paraId="0F1401AA" w14:textId="77777777" w:rsidR="005F3433" w:rsidRPr="008814D3" w:rsidRDefault="005F3433" w:rsidP="005F3433">
      <w:pPr>
        <w:shd w:val="clear" w:color="auto" w:fill="FFFFFF"/>
        <w:rPr>
          <w:rFonts w:ascii="Calibri" w:hAnsi="Calibri" w:cs="Calibri"/>
          <w:szCs w:val="22"/>
        </w:rPr>
      </w:pPr>
    </w:p>
    <w:p w14:paraId="0D909554" w14:textId="77777777" w:rsidR="005F3433" w:rsidRPr="008F6B15" w:rsidRDefault="005F3433" w:rsidP="008F6B15">
      <w:pPr>
        <w:pStyle w:val="ListParagraph"/>
        <w:numPr>
          <w:ilvl w:val="0"/>
          <w:numId w:val="3"/>
        </w:numPr>
        <w:shd w:val="clear" w:color="auto" w:fill="FFFFFF"/>
        <w:tabs>
          <w:tab w:val="num" w:pos="908"/>
        </w:tabs>
        <w:rPr>
          <w:rFonts w:ascii="Calibri" w:hAnsi="Calibri" w:cs="Calibri"/>
          <w:szCs w:val="22"/>
        </w:rPr>
      </w:pPr>
      <w:r w:rsidRPr="008F6B15">
        <w:rPr>
          <w:rFonts w:ascii="Calibri" w:hAnsi="Calibri" w:cs="Calibri"/>
          <w:szCs w:val="22"/>
        </w:rPr>
        <w:t xml:space="preserve">the very processes of both policy and research in education necessarily impact on and alter the processes and nature of teaching and </w:t>
      </w:r>
      <w:proofErr w:type="gramStart"/>
      <w:r w:rsidRPr="008F6B15">
        <w:rPr>
          <w:rFonts w:ascii="Calibri" w:hAnsi="Calibri" w:cs="Calibri"/>
          <w:szCs w:val="22"/>
        </w:rPr>
        <w:t>learning;</w:t>
      </w:r>
      <w:proofErr w:type="gramEnd"/>
    </w:p>
    <w:p w14:paraId="7EBD5E53" w14:textId="7D4F4468" w:rsidR="005F3433" w:rsidRPr="008F6B15" w:rsidRDefault="005F3433" w:rsidP="008F6B15">
      <w:pPr>
        <w:pStyle w:val="ListParagraph"/>
        <w:numPr>
          <w:ilvl w:val="0"/>
          <w:numId w:val="3"/>
        </w:numPr>
        <w:shd w:val="clear" w:color="auto" w:fill="FFFFFF"/>
        <w:tabs>
          <w:tab w:val="num" w:pos="681"/>
        </w:tabs>
        <w:rPr>
          <w:rFonts w:ascii="Calibri" w:hAnsi="Calibri" w:cs="Calibri"/>
          <w:szCs w:val="22"/>
        </w:rPr>
      </w:pPr>
      <w:r w:rsidRPr="008F6B15">
        <w:rPr>
          <w:rFonts w:ascii="Calibri" w:hAnsi="Calibri" w:cs="Calibri"/>
          <w:szCs w:val="22"/>
        </w:rPr>
        <w:t>defining and analysing and educational activities require</w:t>
      </w:r>
      <w:r w:rsidR="0006746A" w:rsidRPr="008F6B15">
        <w:rPr>
          <w:rFonts w:ascii="Calibri" w:hAnsi="Calibri" w:cs="Calibri"/>
          <w:szCs w:val="22"/>
        </w:rPr>
        <w:t xml:space="preserve"> the</w:t>
      </w:r>
      <w:r w:rsidRPr="008F6B15">
        <w:rPr>
          <w:rFonts w:ascii="Calibri" w:hAnsi="Calibri" w:cs="Calibri"/>
          <w:szCs w:val="22"/>
        </w:rPr>
        <w:t xml:space="preserve"> </w:t>
      </w:r>
      <w:r w:rsidR="0006746A" w:rsidRPr="008F6B15">
        <w:rPr>
          <w:rFonts w:ascii="Calibri" w:hAnsi="Calibri" w:cs="Calibri"/>
          <w:szCs w:val="22"/>
        </w:rPr>
        <w:t xml:space="preserve">measurement of </w:t>
      </w:r>
      <w:r w:rsidRPr="008F6B15">
        <w:rPr>
          <w:rFonts w:ascii="Calibri" w:hAnsi="Calibri" w:cs="Calibri"/>
          <w:szCs w:val="22"/>
        </w:rPr>
        <w:t xml:space="preserve">proxies, that not only approximate but change the character of what is being </w:t>
      </w:r>
      <w:proofErr w:type="gramStart"/>
      <w:r w:rsidRPr="008F6B15">
        <w:rPr>
          <w:rFonts w:ascii="Calibri" w:hAnsi="Calibri" w:cs="Calibri"/>
          <w:szCs w:val="22"/>
        </w:rPr>
        <w:t>observed;</w:t>
      </w:r>
      <w:proofErr w:type="gramEnd"/>
    </w:p>
    <w:p w14:paraId="41D899CD" w14:textId="6FBCB0DC" w:rsidR="005F3433" w:rsidRPr="008F6B15" w:rsidRDefault="005F3433" w:rsidP="008F6B15">
      <w:pPr>
        <w:pStyle w:val="ListParagraph"/>
        <w:numPr>
          <w:ilvl w:val="0"/>
          <w:numId w:val="3"/>
        </w:numPr>
        <w:shd w:val="clear" w:color="auto" w:fill="FFFFFF"/>
        <w:tabs>
          <w:tab w:val="num" w:pos="454"/>
        </w:tabs>
        <w:rPr>
          <w:rFonts w:ascii="Calibri" w:hAnsi="Calibri" w:cs="Calibri"/>
          <w:szCs w:val="22"/>
        </w:rPr>
      </w:pPr>
      <w:r w:rsidRPr="008F6B15">
        <w:rPr>
          <w:rFonts w:ascii="Calibri" w:hAnsi="Calibri" w:cs="Calibri"/>
          <w:szCs w:val="22"/>
        </w:rPr>
        <w:t>social interactions are so contextually created that they can never be reproduced; and</w:t>
      </w:r>
      <w:r w:rsidR="00CA0AEB" w:rsidRPr="008F6B15">
        <w:rPr>
          <w:rFonts w:ascii="Calibri" w:hAnsi="Calibri" w:cs="Calibri"/>
          <w:szCs w:val="22"/>
        </w:rPr>
        <w:t xml:space="preserve"> </w:t>
      </w:r>
    </w:p>
    <w:p w14:paraId="2D912CDC" w14:textId="42EC7F74" w:rsidR="005F3433" w:rsidRPr="008F6B15" w:rsidRDefault="005F3433" w:rsidP="008F6B15">
      <w:pPr>
        <w:pStyle w:val="ListParagraph"/>
        <w:numPr>
          <w:ilvl w:val="0"/>
          <w:numId w:val="3"/>
        </w:numPr>
        <w:shd w:val="clear" w:color="auto" w:fill="FFFFFF"/>
        <w:tabs>
          <w:tab w:val="num" w:pos="454"/>
        </w:tabs>
        <w:rPr>
          <w:rFonts w:ascii="Calibri" w:hAnsi="Calibri" w:cs="Calibri"/>
          <w:szCs w:val="22"/>
        </w:rPr>
      </w:pPr>
      <w:r w:rsidRPr="008F6B15">
        <w:rPr>
          <w:rFonts w:ascii="Calibri" w:hAnsi="Calibri" w:cs="Calibri"/>
          <w:szCs w:val="22"/>
        </w:rPr>
        <w:t>classifying and characterising populations is no more than a heuristic device, and should be made contextually, at the time and in the context of the particular research activity.</w:t>
      </w:r>
      <w:r w:rsidR="00CA0AEB" w:rsidRPr="008F6B15">
        <w:rPr>
          <w:rFonts w:ascii="Calibri" w:hAnsi="Calibri" w:cs="Calibri"/>
          <w:szCs w:val="22"/>
        </w:rPr>
        <w:t xml:space="preserve"> </w:t>
      </w:r>
    </w:p>
    <w:p w14:paraId="3572B02A" w14:textId="521E41D2" w:rsidR="005F3433" w:rsidRDefault="005F3433" w:rsidP="008F6B15">
      <w:pPr>
        <w:shd w:val="clear" w:color="auto" w:fill="FFFFFF"/>
        <w:ind w:left="227"/>
        <w:rPr>
          <w:rFonts w:ascii="Calibri" w:hAnsi="Calibri" w:cs="Calibri"/>
          <w:color w:val="222222"/>
          <w:szCs w:val="22"/>
        </w:rPr>
      </w:pPr>
    </w:p>
    <w:p w14:paraId="6DCFFDD0" w14:textId="77777777" w:rsidR="008F6B15" w:rsidRPr="008814D3" w:rsidRDefault="008F6B15" w:rsidP="009324F1">
      <w:pPr>
        <w:shd w:val="clear" w:color="auto" w:fill="FFFFFF"/>
        <w:ind w:left="227"/>
        <w:rPr>
          <w:rFonts w:ascii="Calibri" w:hAnsi="Calibri" w:cs="Calibri"/>
          <w:color w:val="222222"/>
          <w:szCs w:val="22"/>
        </w:rPr>
      </w:pPr>
    </w:p>
    <w:p w14:paraId="0BDD1699" w14:textId="69ABEE1A" w:rsidR="005F3433" w:rsidRPr="008814D3" w:rsidRDefault="005F3433" w:rsidP="00AE654F">
      <w:pPr>
        <w:pStyle w:val="Heading2"/>
      </w:pPr>
      <w:r w:rsidRPr="008814D3">
        <w:t xml:space="preserve">Determining </w:t>
      </w:r>
      <w:r w:rsidR="008F6B15" w:rsidRPr="008814D3">
        <w:t>the ‘public good’ in the context of social justice and equity</w:t>
      </w:r>
    </w:p>
    <w:p w14:paraId="3BB8AF2B" w14:textId="77777777" w:rsidR="005F3433" w:rsidRPr="008814D3" w:rsidRDefault="005F3433" w:rsidP="005F3433">
      <w:pPr>
        <w:shd w:val="clear" w:color="auto" w:fill="FFFFFF"/>
        <w:rPr>
          <w:rFonts w:ascii="Calibri" w:hAnsi="Calibri" w:cs="Calibri"/>
          <w:color w:val="222222"/>
          <w:sz w:val="20"/>
          <w:szCs w:val="20"/>
        </w:rPr>
      </w:pPr>
    </w:p>
    <w:p w14:paraId="3724D851" w14:textId="1AF47D76" w:rsidR="005F3433" w:rsidRPr="008814D3" w:rsidRDefault="005F3433" w:rsidP="006248D0">
      <w:r w:rsidRPr="008814D3">
        <w:t xml:space="preserve">How does our understanding of social </w:t>
      </w:r>
      <w:r w:rsidRPr="00DA0954">
        <w:t>justice influence our construction of the public good?</w:t>
      </w:r>
      <w:r w:rsidR="00CA0AEB" w:rsidRPr="00DA0954">
        <w:t xml:space="preserve"> </w:t>
      </w:r>
      <w:r w:rsidRPr="00DA0954">
        <w:t>There must be questions about whether and to what extent state institutions – even those that profess to be liberal democracies – can be seen as necessarily the best agents to define the public good.</w:t>
      </w:r>
      <w:r w:rsidR="00CA0AEB" w:rsidRPr="00DA0954">
        <w:t xml:space="preserve"> </w:t>
      </w:r>
      <w:r w:rsidRPr="00DA0954">
        <w:t xml:space="preserve">States and their policy agents operate in what they see as the </w:t>
      </w:r>
      <w:r w:rsidRPr="00DA0954">
        <w:rPr>
          <w:i/>
          <w:iCs/>
        </w:rPr>
        <w:t>state’s</w:t>
      </w:r>
      <w:r w:rsidRPr="00DA0954">
        <w:t xml:space="preserve"> best interests (or the best interest of the </w:t>
      </w:r>
      <w:r w:rsidRPr="00DA0954">
        <w:rPr>
          <w:i/>
          <w:iCs/>
        </w:rPr>
        <w:t>individual policy maker’s</w:t>
      </w:r>
      <w:r w:rsidRPr="00DA0954">
        <w:t xml:space="preserve"> career or p</w:t>
      </w:r>
      <w:r w:rsidR="00754B13" w:rsidRPr="00DA0954">
        <w:t>olitical affiliation</w:t>
      </w:r>
      <w:r w:rsidRPr="00DA0954">
        <w:t xml:space="preserve">), rather than necessarily in the public’s best interests, or even the best interests of the subset of the public that are citizens of that particular </w:t>
      </w:r>
      <w:r w:rsidR="00E42DC8" w:rsidRPr="00DA0954">
        <w:t>country</w:t>
      </w:r>
      <w:r w:rsidRPr="00DA0954">
        <w:t>.</w:t>
      </w:r>
      <w:r w:rsidR="008F6B15">
        <w:t xml:space="preserve"> </w:t>
      </w:r>
      <w:r w:rsidR="009A6AB6" w:rsidRPr="00DA0954">
        <w:t>Governmental</w:t>
      </w:r>
      <w:r w:rsidRPr="00DA0954">
        <w:t xml:space="preserve"> processes, particularly in democracies, operate on a relatively short-term basis, largely related to election cycles: </w:t>
      </w:r>
      <w:r w:rsidR="006A2EE2" w:rsidRPr="00DA0954">
        <w:t xml:space="preserve">they </w:t>
      </w:r>
      <w:r w:rsidRPr="00DA0954">
        <w:t>procrastinate and deflect concerns for longer term conceptions of the public good</w:t>
      </w:r>
      <w:r w:rsidR="008B69A9" w:rsidRPr="00DA0954">
        <w:t xml:space="preserve"> (as </w:t>
      </w:r>
      <w:r w:rsidR="001047B3" w:rsidRPr="00DA0954">
        <w:t>we continue to see in relation to the climate crisis)</w:t>
      </w:r>
      <w:r w:rsidRPr="00DA0954">
        <w:t xml:space="preserve">. States distinguish between </w:t>
      </w:r>
      <w:r w:rsidR="006A2EE2" w:rsidRPr="00DA0954">
        <w:t xml:space="preserve">their </w:t>
      </w:r>
      <w:r w:rsidRPr="00DA0954">
        <w:t xml:space="preserve">citizens, in whose interest they ostensibly operate, and resident non-citizens – who are nevertheless part of ‘the public’. States see themselves as competing globally, operating to maximise their position – economically, politically, educationally </w:t>
      </w:r>
      <w:r w:rsidR="00A126B8" w:rsidRPr="008814D3">
        <w:rPr>
          <w:rFonts w:ascii="Calibri" w:hAnsi="Calibri" w:cs="Calibri"/>
          <w:szCs w:val="22"/>
        </w:rPr>
        <w:t>–</w:t>
      </w:r>
      <w:r w:rsidRPr="00DA0954">
        <w:t xml:space="preserve"> at the expense of other states (and their ‘publics’) in what is construed as a zero-sum game.</w:t>
      </w:r>
      <w:r w:rsidR="00CA0AEB" w:rsidRPr="00DA0954">
        <w:t xml:space="preserve"> </w:t>
      </w:r>
      <w:r w:rsidRPr="00DA0954">
        <w:t>And states (whether oligarchic, democratic or meritocratic) are essentially operated by self-perpetuating elites, who rationalise their best interests as being the same as the public’s best interests.</w:t>
      </w:r>
      <w:r w:rsidR="00CA0AEB">
        <w:t xml:space="preserve"> </w:t>
      </w:r>
    </w:p>
    <w:p w14:paraId="1B8B7125" w14:textId="77777777" w:rsidR="005F3433" w:rsidRPr="008814D3" w:rsidRDefault="005F3433" w:rsidP="006248D0"/>
    <w:p w14:paraId="4F806A7D" w14:textId="55958AAC" w:rsidR="005F3433" w:rsidRPr="008814D3" w:rsidRDefault="005F3433" w:rsidP="006248D0">
      <w:r w:rsidRPr="008814D3">
        <w:t>Neoliberalism is the ideology that so pervasively frames the action of the state in a way that it is often scarcely recognised as an ideology.</w:t>
      </w:r>
      <w:r w:rsidR="00CA0AEB">
        <w:t xml:space="preserve"> </w:t>
      </w:r>
      <w:r w:rsidRPr="008814D3">
        <w:t>It appears to be so firmly embedded that it appears a natural, neutral law, similar to evolution or gravity (</w:t>
      </w:r>
      <w:proofErr w:type="spellStart"/>
      <w:r w:rsidRPr="008814D3">
        <w:rPr>
          <w:rStyle w:val="Strong"/>
          <w:rFonts w:ascii="Calibri" w:hAnsi="Calibri" w:cs="Calibri"/>
          <w:b w:val="0"/>
          <w:szCs w:val="22"/>
          <w:bdr w:val="none" w:sz="0" w:space="0" w:color="auto" w:frame="1"/>
        </w:rPr>
        <w:t>Štremfel</w:t>
      </w:r>
      <w:proofErr w:type="spellEnd"/>
      <w:r w:rsidRPr="008814D3">
        <w:rPr>
          <w:rStyle w:val="Strong"/>
          <w:rFonts w:ascii="Calibri" w:hAnsi="Calibri" w:cs="Calibri"/>
          <w:b w:val="0"/>
          <w:szCs w:val="22"/>
          <w:bdr w:val="none" w:sz="0" w:space="0" w:color="auto" w:frame="1"/>
        </w:rPr>
        <w:t>, 2018)</w:t>
      </w:r>
      <w:r w:rsidRPr="008814D3">
        <w:t>.</w:t>
      </w:r>
      <w:r w:rsidR="00CA0AEB">
        <w:t xml:space="preserve"> </w:t>
      </w:r>
      <w:r w:rsidRPr="008814D3">
        <w:t>But it acts to define competition as the central characteristic of social relationships, and the market as a system for allocating values and priorities.</w:t>
      </w:r>
      <w:r w:rsidR="00CA0AEB">
        <w:t xml:space="preserve"> </w:t>
      </w:r>
      <w:r w:rsidRPr="008814D3">
        <w:t>Individuals are consumers, and we exercise our citizenship through making choices</w:t>
      </w:r>
      <w:r w:rsidR="005F7429">
        <w:t xml:space="preserve"> in the same way as we do</w:t>
      </w:r>
      <w:r w:rsidRPr="008814D3">
        <w:t xml:space="preserve"> through buying and selling.</w:t>
      </w:r>
      <w:r w:rsidR="00CA0AEB">
        <w:t xml:space="preserve"> </w:t>
      </w:r>
      <w:r w:rsidRPr="008814D3">
        <w:t>The market trumps planning, direction and control by the state, and the state forfeits its ability and right to make decisions to the market.</w:t>
      </w:r>
      <w:r w:rsidR="00CA0AEB">
        <w:t xml:space="preserve"> </w:t>
      </w:r>
      <w:r w:rsidRPr="008814D3">
        <w:t>Limiting competition is regarded as an affront to individual liberty: taxes and regulations are minimised. The market produces a natural hierarchy of winners and losers in a zero-sum game, so inequality is virtuous and consequential. The market rewards those who create wealth and supply the needs of the market: as Young predicted, the rich are convinced that it is their own merit that is being rewarded, and the poor blame themselves for their failure.</w:t>
      </w:r>
    </w:p>
    <w:p w14:paraId="0C821348" w14:textId="77777777" w:rsidR="005F3433" w:rsidRPr="008814D3" w:rsidRDefault="005F3433" w:rsidP="006248D0"/>
    <w:p w14:paraId="752A6AC6" w14:textId="764D37CB" w:rsidR="005F3433" w:rsidRDefault="005F3433" w:rsidP="006248D0">
      <w:r w:rsidRPr="008814D3">
        <w:t xml:space="preserve">This line of argument would suggest that it is not structural unemployment that is responsible for young people not finding work, but their lack of effort to gain appropriate skills, or to stay in education for longer to gain such skills (Ross and </w:t>
      </w:r>
      <w:proofErr w:type="spellStart"/>
      <w:r w:rsidRPr="008814D3">
        <w:t>Leathwood</w:t>
      </w:r>
      <w:proofErr w:type="spellEnd"/>
      <w:r w:rsidRPr="008814D3">
        <w:t>, 2013).</w:t>
      </w:r>
      <w:r w:rsidR="00CA0AEB">
        <w:t xml:space="preserve"> </w:t>
      </w:r>
      <w:r w:rsidRPr="008814D3">
        <w:t>The reason that a state’s G</w:t>
      </w:r>
      <w:r w:rsidR="00DF5308">
        <w:t xml:space="preserve">ross </w:t>
      </w:r>
      <w:r w:rsidRPr="008814D3">
        <w:t>D</w:t>
      </w:r>
      <w:r w:rsidR="00DF5308">
        <w:t>om</w:t>
      </w:r>
      <w:r w:rsidR="007F73F5">
        <w:t>e</w:t>
      </w:r>
      <w:r w:rsidR="00DF5308">
        <w:t>s</w:t>
      </w:r>
      <w:r w:rsidR="00FD287F">
        <w:t>t</w:t>
      </w:r>
      <w:r w:rsidR="00DF5308">
        <w:t>ic</w:t>
      </w:r>
      <w:r w:rsidR="007F73F5">
        <w:t xml:space="preserve"> </w:t>
      </w:r>
      <w:r w:rsidRPr="008814D3">
        <w:t>P</w:t>
      </w:r>
      <w:r w:rsidR="007F73F5">
        <w:t>roduct</w:t>
      </w:r>
      <w:r w:rsidRPr="008814D3">
        <w:t xml:space="preserve"> rises at a rate </w:t>
      </w:r>
      <w:r w:rsidR="00BE7A36">
        <w:t xml:space="preserve">more or </w:t>
      </w:r>
      <w:r w:rsidRPr="008814D3">
        <w:t>less than its competitors is, erroneously, held to be country’s comparative success in the mathematics, literacy and science scores of its young people in the OECD’s Programme for International Student Assessment (PISA), so policy is directed (as shown above) at improving such scores through activities that may raise test results.</w:t>
      </w:r>
      <w:r w:rsidR="00CA0AEB">
        <w:t xml:space="preserve"> </w:t>
      </w:r>
      <w:r w:rsidRPr="008814D3">
        <w:t xml:space="preserve">The PISA ratings now </w:t>
      </w:r>
      <w:r w:rsidR="009324F1">
        <w:t>‘</w:t>
      </w:r>
      <w:r w:rsidRPr="008814D3">
        <w:t>command significance far beyond that of a mere informative basis for decision-making</w:t>
      </w:r>
      <w:r w:rsidR="00BE7A36">
        <w:t>’</w:t>
      </w:r>
      <w:r w:rsidRPr="008814D3">
        <w:t xml:space="preserve"> (</w:t>
      </w:r>
      <w:proofErr w:type="spellStart"/>
      <w:r w:rsidRPr="008814D3">
        <w:t>Bøyum</w:t>
      </w:r>
      <w:proofErr w:type="spellEnd"/>
      <w:r w:rsidRPr="008814D3">
        <w:t>, 2014, p.</w:t>
      </w:r>
      <w:r w:rsidR="00A7233C" w:rsidRPr="008814D3">
        <w:t xml:space="preserve"> </w:t>
      </w:r>
      <w:r w:rsidRPr="008814D3">
        <w:t>857</w:t>
      </w:r>
      <w:r w:rsidR="00EB21FB">
        <w:t xml:space="preserve">; see also </w:t>
      </w:r>
      <w:r w:rsidR="00940A78">
        <w:t>Chapter 3</w:t>
      </w:r>
      <w:r w:rsidR="008B2F69">
        <w:t>,</w:t>
      </w:r>
      <w:r w:rsidR="00940A78">
        <w:t xml:space="preserve"> </w:t>
      </w:r>
      <w:r w:rsidR="008B2F69">
        <w:t xml:space="preserve">Hutchings, </w:t>
      </w:r>
      <w:r w:rsidR="00940A78">
        <w:t>2020</w:t>
      </w:r>
      <w:r w:rsidR="008B2F69">
        <w:t>a</w:t>
      </w:r>
      <w:r w:rsidRPr="008814D3">
        <w:t xml:space="preserve">). </w:t>
      </w:r>
    </w:p>
    <w:p w14:paraId="21C8EE39" w14:textId="77777777" w:rsidR="00BE7A36" w:rsidRPr="008814D3" w:rsidRDefault="00BE7A36" w:rsidP="006248D0"/>
    <w:p w14:paraId="31D5151B" w14:textId="307DE57F" w:rsidR="005F3433" w:rsidRPr="008814D3" w:rsidRDefault="005F3433" w:rsidP="002223AC">
      <w:pPr>
        <w:rPr>
          <w:b/>
          <w:bCs/>
        </w:rPr>
      </w:pPr>
      <w:r w:rsidRPr="008814D3">
        <w:t xml:space="preserve">The original proponent of the theory that the market exercised an ‘invisible hand’ that governed economic relations is attributed to Adam Smith in his treatise </w:t>
      </w:r>
      <w:r w:rsidRPr="008814D3">
        <w:rPr>
          <w:i/>
          <w:iCs/>
        </w:rPr>
        <w:t>The Wealth of Nations</w:t>
      </w:r>
      <w:r w:rsidRPr="008814D3">
        <w:t xml:space="preserve"> (1776).</w:t>
      </w:r>
      <w:r w:rsidR="00CA0AEB">
        <w:t xml:space="preserve"> </w:t>
      </w:r>
      <w:r w:rsidRPr="008814D3">
        <w:t xml:space="preserve">Much misquoted, Smith pointed to the need for ‘the market’ to be an area where everyone was equally able to make fully informed choices, an area where the state should minimise the likelihood of </w:t>
      </w:r>
      <w:r w:rsidR="00891707" w:rsidRPr="008814D3">
        <w:rPr>
          <w:b/>
        </w:rPr>
        <w:t>‘</w:t>
      </w:r>
      <w:r w:rsidRPr="008814D3">
        <w:t>people of the same trade … meet[</w:t>
      </w:r>
      <w:proofErr w:type="spellStart"/>
      <w:r w:rsidRPr="008814D3">
        <w:t>ing</w:t>
      </w:r>
      <w:proofErr w:type="spellEnd"/>
      <w:r w:rsidRPr="008814D3">
        <w:t>] together …</w:t>
      </w:r>
      <w:r w:rsidR="00CA0AEB">
        <w:t xml:space="preserve"> </w:t>
      </w:r>
      <w:r w:rsidRPr="008814D3">
        <w:t>in a conspiracy against the public, or in some contrivance to raise prices</w:t>
      </w:r>
      <w:r w:rsidR="00891707" w:rsidRPr="008814D3">
        <w:rPr>
          <w:b/>
          <w:bCs/>
        </w:rPr>
        <w:t>’</w:t>
      </w:r>
      <w:r w:rsidRPr="008814D3">
        <w:t xml:space="preserve"> (Smith, </w:t>
      </w:r>
      <w:r w:rsidR="00CE0775" w:rsidRPr="008814D3">
        <w:t>1970 [</w:t>
      </w:r>
      <w:r w:rsidRPr="008814D3">
        <w:t>1776</w:t>
      </w:r>
      <w:r w:rsidR="00CE0775" w:rsidRPr="008814D3">
        <w:t>]</w:t>
      </w:r>
      <w:r w:rsidRPr="008814D3">
        <w:t>, p.</w:t>
      </w:r>
      <w:r w:rsidR="00CE0775" w:rsidRPr="008814D3">
        <w:rPr>
          <w:b/>
          <w:bCs/>
        </w:rPr>
        <w:t xml:space="preserve"> </w:t>
      </w:r>
      <w:r w:rsidRPr="008814D3">
        <w:t>200</w:t>
      </w:r>
      <w:r w:rsidRPr="008814D3">
        <w:rPr>
          <w:shd w:val="clear" w:color="auto" w:fill="FFFFFF"/>
        </w:rPr>
        <w:t>), and one in which the state should be obliged to provide essential monopolies such as lighthouses, roads and canals.</w:t>
      </w:r>
      <w:r w:rsidR="00CA0AEB">
        <w:rPr>
          <w:shd w:val="clear" w:color="auto" w:fill="FFFFFF"/>
        </w:rPr>
        <w:t xml:space="preserve"> </w:t>
      </w:r>
      <w:r w:rsidRPr="008814D3">
        <w:rPr>
          <w:shd w:val="clear" w:color="auto" w:fill="FFFFFF"/>
        </w:rPr>
        <w:t xml:space="preserve">These were ignored in the neoliberal tract </w:t>
      </w:r>
      <w:r w:rsidRPr="008814D3">
        <w:rPr>
          <w:i/>
          <w:shd w:val="clear" w:color="auto" w:fill="FFFFFF"/>
        </w:rPr>
        <w:t>The Road to Serfdom</w:t>
      </w:r>
      <w:r w:rsidRPr="008814D3">
        <w:rPr>
          <w:shd w:val="clear" w:color="auto" w:fill="FFFFFF"/>
        </w:rPr>
        <w:t xml:space="preserve"> (Hayek, 1944), which argued that government interference in the economy would crush individualism and inevitably lead to tyranny.</w:t>
      </w:r>
      <w:r w:rsidR="00CA0AEB">
        <w:rPr>
          <w:shd w:val="clear" w:color="auto" w:fill="FFFFFF"/>
        </w:rPr>
        <w:t xml:space="preserve"> </w:t>
      </w:r>
      <w:r w:rsidRPr="008814D3">
        <w:rPr>
          <w:shd w:val="clear" w:color="auto" w:fill="FFFFFF"/>
        </w:rPr>
        <w:t xml:space="preserve">Tony </w:t>
      </w:r>
      <w:proofErr w:type="spellStart"/>
      <w:r w:rsidRPr="008814D3">
        <w:rPr>
          <w:shd w:val="clear" w:color="auto" w:fill="FFFFFF"/>
        </w:rPr>
        <w:t>Judt</w:t>
      </w:r>
      <w:proofErr w:type="spellEnd"/>
      <w:r w:rsidRPr="008814D3">
        <w:rPr>
          <w:shd w:val="clear" w:color="auto" w:fill="FFFFFF"/>
        </w:rPr>
        <w:t xml:space="preserve"> (2011) pointed to </w:t>
      </w:r>
      <w:r w:rsidR="00BE7A36">
        <w:rPr>
          <w:shd w:val="clear" w:color="auto" w:fill="FFFFFF"/>
        </w:rPr>
        <w:t xml:space="preserve">Friedrich </w:t>
      </w:r>
      <w:r w:rsidRPr="008814D3">
        <w:rPr>
          <w:shd w:val="clear" w:color="auto" w:fill="FFFFFF"/>
        </w:rPr>
        <w:t xml:space="preserve">Hayek’s lack of reference to the need to maintain essential state services, at the expense of unfettered competition. </w:t>
      </w:r>
    </w:p>
    <w:p w14:paraId="56977377" w14:textId="77777777" w:rsidR="005F3433" w:rsidRPr="008814D3" w:rsidRDefault="005F3433" w:rsidP="005F3433">
      <w:pPr>
        <w:shd w:val="clear" w:color="auto" w:fill="FFFFFF"/>
        <w:rPr>
          <w:rFonts w:ascii="Calibri" w:hAnsi="Calibri" w:cs="Calibri"/>
          <w:szCs w:val="22"/>
        </w:rPr>
      </w:pPr>
    </w:p>
    <w:p w14:paraId="0B358116" w14:textId="0C5F88D0" w:rsidR="005F3433" w:rsidRPr="008814D3" w:rsidRDefault="005F3433" w:rsidP="005F3433">
      <w:pPr>
        <w:rPr>
          <w:rFonts w:ascii="Calibri" w:hAnsi="Calibri" w:cs="Calibri"/>
          <w:szCs w:val="22"/>
          <w:shd w:val="clear" w:color="auto" w:fill="FFFFFF"/>
        </w:rPr>
      </w:pPr>
      <w:r w:rsidRPr="008814D3">
        <w:rPr>
          <w:rFonts w:ascii="Calibri" w:hAnsi="Calibri" w:cs="Calibri"/>
          <w:szCs w:val="22"/>
          <w:shd w:val="clear" w:color="auto" w:fill="FFFFFF"/>
        </w:rPr>
        <w:t>The consequence of the neoliberal ideology is that the public sphere – an arena of deliberation and the reasoned contestation of ideas – becomes a literal marketplace of individual preferences and self-interest.</w:t>
      </w:r>
      <w:r w:rsidR="00CA0AEB">
        <w:rPr>
          <w:rFonts w:ascii="Calibri" w:hAnsi="Calibri" w:cs="Calibri"/>
          <w:szCs w:val="22"/>
          <w:shd w:val="clear" w:color="auto" w:fill="FFFFFF"/>
        </w:rPr>
        <w:t xml:space="preserve"> </w:t>
      </w:r>
      <w:r w:rsidRPr="008814D3">
        <w:rPr>
          <w:rFonts w:ascii="Calibri" w:hAnsi="Calibri" w:cs="Calibri"/>
          <w:szCs w:val="22"/>
          <w:shd w:val="clear" w:color="auto" w:fill="FFFFFF"/>
        </w:rPr>
        <w:t xml:space="preserve">While the influence and vigour of the jurist or the legislator, the academic or the social reformer, came from humanistic values of justice, rights and public society, neoliberalism replaces these with the logic of the algorithm. </w:t>
      </w:r>
      <w:r w:rsidR="00CE0775" w:rsidRPr="008814D3">
        <w:rPr>
          <w:rFonts w:ascii="Calibri" w:hAnsi="Calibri" w:cs="Calibri"/>
          <w:szCs w:val="22"/>
          <w:shd w:val="clear" w:color="auto" w:fill="FFFFFF"/>
        </w:rPr>
        <w:t>‘</w:t>
      </w:r>
      <w:r w:rsidRPr="008814D3">
        <w:rPr>
          <w:rFonts w:ascii="Calibri" w:hAnsi="Calibri" w:cs="Calibri"/>
          <w:szCs w:val="22"/>
        </w:rPr>
        <w:t>People in this country have had enough of experts</w:t>
      </w:r>
      <w:r w:rsidR="00A126B8">
        <w:rPr>
          <w:rFonts w:ascii="Calibri" w:hAnsi="Calibri" w:cs="Calibri"/>
          <w:szCs w:val="22"/>
        </w:rPr>
        <w:t>,</w:t>
      </w:r>
      <w:r w:rsidR="00CE0775" w:rsidRPr="008814D3">
        <w:rPr>
          <w:rFonts w:ascii="Calibri" w:hAnsi="Calibri" w:cs="Calibri"/>
          <w:szCs w:val="22"/>
        </w:rPr>
        <w:t>’</w:t>
      </w:r>
      <w:r w:rsidRPr="008814D3">
        <w:rPr>
          <w:rFonts w:ascii="Calibri" w:hAnsi="Calibri" w:cs="Calibri"/>
          <w:szCs w:val="22"/>
        </w:rPr>
        <w:t xml:space="preserve"> observed Michael Gove</w:t>
      </w:r>
      <w:r w:rsidRPr="008814D3">
        <w:rPr>
          <w:rFonts w:ascii="Calibri" w:hAnsi="Calibri" w:cs="Calibri"/>
          <w:szCs w:val="22"/>
          <w:shd w:val="clear" w:color="auto" w:fill="FFFFFF"/>
        </w:rPr>
        <w:t xml:space="preserve"> in June 2016, when he was England’s Minister of Justice (</w:t>
      </w:r>
      <w:proofErr w:type="spellStart"/>
      <w:r w:rsidRPr="008814D3">
        <w:rPr>
          <w:rFonts w:ascii="Calibri" w:hAnsi="Calibri" w:cs="Calibri"/>
          <w:szCs w:val="22"/>
          <w:shd w:val="clear" w:color="auto" w:fill="FFFFFF"/>
        </w:rPr>
        <w:t>Mance</w:t>
      </w:r>
      <w:proofErr w:type="spellEnd"/>
      <w:r w:rsidR="00BD4378" w:rsidRPr="008814D3">
        <w:rPr>
          <w:rFonts w:ascii="Calibri" w:hAnsi="Calibri" w:cs="Calibri"/>
          <w:szCs w:val="22"/>
          <w:shd w:val="clear" w:color="auto" w:fill="FFFFFF"/>
        </w:rPr>
        <w:t>,</w:t>
      </w:r>
      <w:r w:rsidRPr="008814D3">
        <w:rPr>
          <w:rFonts w:ascii="Calibri" w:hAnsi="Calibri" w:cs="Calibri"/>
          <w:szCs w:val="22"/>
          <w:shd w:val="clear" w:color="auto" w:fill="FFFFFF"/>
        </w:rPr>
        <w:t xml:space="preserve"> 2016). </w:t>
      </w:r>
    </w:p>
    <w:p w14:paraId="1EA5EF34" w14:textId="77777777" w:rsidR="005F3433" w:rsidRPr="008814D3" w:rsidRDefault="005F3433" w:rsidP="005F3433">
      <w:pPr>
        <w:shd w:val="clear" w:color="auto" w:fill="FFFFFF"/>
        <w:rPr>
          <w:rFonts w:ascii="Calibri" w:hAnsi="Calibri" w:cs="Calibri"/>
          <w:szCs w:val="22"/>
        </w:rPr>
      </w:pPr>
    </w:p>
    <w:p w14:paraId="5ED658EF" w14:textId="11CD84C7" w:rsidR="005F3433" w:rsidRPr="008814D3" w:rsidRDefault="005F3433" w:rsidP="005F3433">
      <w:pPr>
        <w:shd w:val="clear" w:color="auto" w:fill="FFFFFF"/>
        <w:rPr>
          <w:rFonts w:ascii="Calibri" w:hAnsi="Calibri" w:cs="Calibri"/>
          <w:color w:val="222222"/>
          <w:szCs w:val="22"/>
        </w:rPr>
      </w:pPr>
      <w:r w:rsidRPr="008814D3">
        <w:rPr>
          <w:rFonts w:ascii="Calibri" w:hAnsi="Calibri" w:cs="Calibri"/>
          <w:szCs w:val="22"/>
        </w:rPr>
        <w:t>The way in which states have embraced international competitive league tables of ‘educational performance’ illustrates how the education of individuals has been subsumed to the ‘efficiency’ of economic outcomes.</w:t>
      </w:r>
      <w:r w:rsidR="00CA0AEB">
        <w:rPr>
          <w:rFonts w:ascii="Calibri" w:hAnsi="Calibri" w:cs="Calibri"/>
          <w:szCs w:val="22"/>
        </w:rPr>
        <w:t xml:space="preserve"> </w:t>
      </w:r>
      <w:r w:rsidRPr="008814D3">
        <w:rPr>
          <w:rFonts w:ascii="Calibri" w:hAnsi="Calibri" w:cs="Calibri"/>
          <w:szCs w:val="22"/>
        </w:rPr>
        <w:t xml:space="preserve">Education has become increasingly seen as a competitive process, as instrumental reasons are used to justify educational policies and to drive both parental and national ambitions. In international competition, the development of scales and league tables that have followed the introduction of </w:t>
      </w:r>
      <w:smartTag w:uri="urn:schemas-microsoft-com:office:smarttags" w:element="City">
        <w:smartTag w:uri="urn:schemas-microsoft-com:office:smarttags" w:element="place">
          <w:r w:rsidRPr="008814D3">
            <w:rPr>
              <w:rFonts w:ascii="Calibri" w:hAnsi="Calibri" w:cs="Calibri"/>
              <w:szCs w:val="22"/>
            </w:rPr>
            <w:t>PISA</w:t>
          </w:r>
        </w:smartTag>
      </w:smartTag>
      <w:r w:rsidRPr="008814D3">
        <w:rPr>
          <w:rFonts w:ascii="Calibri" w:hAnsi="Calibri" w:cs="Calibri"/>
          <w:szCs w:val="22"/>
        </w:rPr>
        <w:t xml:space="preserve"> has led to individual governments fretting about international rankings, asserting that these are closely related to eventual economic performance. Quantitative comparison has become the mode of governance: </w:t>
      </w:r>
      <w:proofErr w:type="spellStart"/>
      <w:r w:rsidR="00BE7A36">
        <w:rPr>
          <w:rFonts w:ascii="Calibri" w:hAnsi="Calibri" w:cs="Calibri"/>
          <w:szCs w:val="22"/>
        </w:rPr>
        <w:t>Sotiria</w:t>
      </w:r>
      <w:proofErr w:type="spellEnd"/>
      <w:r w:rsidR="00BE7A36">
        <w:rPr>
          <w:rFonts w:ascii="Calibri" w:hAnsi="Calibri" w:cs="Calibri"/>
          <w:szCs w:val="22"/>
        </w:rPr>
        <w:t xml:space="preserve"> </w:t>
      </w:r>
      <w:proofErr w:type="spellStart"/>
      <w:r w:rsidRPr="008814D3">
        <w:rPr>
          <w:rFonts w:ascii="Calibri" w:hAnsi="Calibri" w:cs="Calibri"/>
          <w:szCs w:val="22"/>
        </w:rPr>
        <w:t>Grek</w:t>
      </w:r>
      <w:proofErr w:type="spellEnd"/>
      <w:r w:rsidRPr="008814D3">
        <w:rPr>
          <w:rFonts w:ascii="Calibri" w:hAnsi="Calibri" w:cs="Calibri"/>
          <w:szCs w:val="22"/>
        </w:rPr>
        <w:t xml:space="preserve"> refe</w:t>
      </w:r>
      <w:r w:rsidR="00CE0775" w:rsidRPr="008814D3">
        <w:rPr>
          <w:rFonts w:ascii="Calibri" w:hAnsi="Calibri" w:cs="Calibri"/>
          <w:szCs w:val="22"/>
        </w:rPr>
        <w:t>rs</w:t>
      </w:r>
      <w:r w:rsidRPr="008814D3">
        <w:rPr>
          <w:rFonts w:ascii="Calibri" w:hAnsi="Calibri" w:cs="Calibri"/>
          <w:szCs w:val="22"/>
        </w:rPr>
        <w:t xml:space="preserve"> to this as </w:t>
      </w:r>
      <w:r w:rsidR="00CE0775" w:rsidRPr="008814D3">
        <w:rPr>
          <w:rFonts w:ascii="Calibri" w:hAnsi="Calibri" w:cs="Calibri"/>
          <w:szCs w:val="22"/>
        </w:rPr>
        <w:t>‘</w:t>
      </w:r>
      <w:r w:rsidRPr="008814D3">
        <w:rPr>
          <w:rFonts w:ascii="Calibri" w:hAnsi="Calibri" w:cs="Calibri"/>
          <w:szCs w:val="22"/>
        </w:rPr>
        <w:t>governing by numbers</w:t>
      </w:r>
      <w:r w:rsidR="009324F1">
        <w:rPr>
          <w:rFonts w:ascii="Calibri" w:hAnsi="Calibri" w:cs="Calibri"/>
          <w:szCs w:val="22"/>
        </w:rPr>
        <w:t>’</w:t>
      </w:r>
      <w:r w:rsidRPr="008814D3">
        <w:rPr>
          <w:rFonts w:ascii="Calibri" w:hAnsi="Calibri" w:cs="Calibri"/>
          <w:szCs w:val="22"/>
        </w:rPr>
        <w:t xml:space="preserve"> (2009, p.</w:t>
      </w:r>
      <w:r w:rsidR="00CE0775" w:rsidRPr="008814D3">
        <w:rPr>
          <w:rFonts w:ascii="Calibri" w:hAnsi="Calibri" w:cs="Calibri"/>
          <w:szCs w:val="22"/>
        </w:rPr>
        <w:t xml:space="preserve"> </w:t>
      </w:r>
      <w:r w:rsidRPr="008814D3">
        <w:rPr>
          <w:rFonts w:ascii="Calibri" w:hAnsi="Calibri" w:cs="Calibri"/>
          <w:szCs w:val="22"/>
        </w:rPr>
        <w:t xml:space="preserve">23). </w:t>
      </w:r>
    </w:p>
    <w:p w14:paraId="601EA7C2" w14:textId="77777777" w:rsidR="005F3433" w:rsidRPr="008814D3" w:rsidRDefault="005F3433" w:rsidP="005F3433">
      <w:pPr>
        <w:shd w:val="clear" w:color="auto" w:fill="FFFFFF"/>
        <w:rPr>
          <w:rFonts w:ascii="Calibri" w:hAnsi="Calibri" w:cs="Calibri"/>
          <w:szCs w:val="22"/>
        </w:rPr>
      </w:pPr>
    </w:p>
    <w:p w14:paraId="13169CA3" w14:textId="341D5552"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 xml:space="preserve">George Papadopoulos, responsible for the OECD’s educational work from the early 1970s to 1991, reviewed the Organisation’s early work in the field in </w:t>
      </w:r>
      <w:r w:rsidRPr="008814D3">
        <w:rPr>
          <w:rFonts w:ascii="Calibri" w:hAnsi="Calibri" w:cs="Calibri"/>
          <w:i/>
          <w:szCs w:val="22"/>
        </w:rPr>
        <w:t>Education 1960</w:t>
      </w:r>
      <w:r w:rsidR="00A126B8" w:rsidRPr="008814D3">
        <w:rPr>
          <w:rFonts w:ascii="Calibri" w:hAnsi="Calibri" w:cs="Calibri"/>
          <w:szCs w:val="22"/>
        </w:rPr>
        <w:t>–</w:t>
      </w:r>
      <w:r w:rsidRPr="008814D3">
        <w:rPr>
          <w:rFonts w:ascii="Calibri" w:hAnsi="Calibri" w:cs="Calibri"/>
          <w:i/>
          <w:szCs w:val="22"/>
        </w:rPr>
        <w:t>1990: The OECD Perspective</w:t>
      </w:r>
      <w:r w:rsidRPr="008814D3">
        <w:rPr>
          <w:rFonts w:ascii="Calibri" w:hAnsi="Calibri" w:cs="Calibri"/>
          <w:szCs w:val="22"/>
        </w:rPr>
        <w:t xml:space="preserve"> (1994).</w:t>
      </w:r>
      <w:r w:rsidR="00CA0AEB">
        <w:rPr>
          <w:rFonts w:ascii="Calibri" w:hAnsi="Calibri" w:cs="Calibri"/>
          <w:szCs w:val="22"/>
        </w:rPr>
        <w:t xml:space="preserve"> </w:t>
      </w:r>
      <w:r w:rsidRPr="008814D3">
        <w:rPr>
          <w:rFonts w:ascii="Calibri" w:hAnsi="Calibri" w:cs="Calibri"/>
          <w:szCs w:val="22"/>
        </w:rPr>
        <w:t xml:space="preserve">He noted that the OECD’s involvement in educational policy dated back to the 1960s, when educational quality and human resource development were core issues: by the early 1970s, its emphasis had shifted to </w:t>
      </w:r>
      <w:r w:rsidR="00CE0775" w:rsidRPr="008814D3">
        <w:rPr>
          <w:rFonts w:ascii="Calibri" w:hAnsi="Calibri" w:cs="Calibri"/>
          <w:szCs w:val="22"/>
        </w:rPr>
        <w:t>‘</w:t>
      </w:r>
      <w:r w:rsidRPr="008814D3">
        <w:rPr>
          <w:rFonts w:ascii="Calibri" w:hAnsi="Calibri" w:cs="Calibri"/>
          <w:szCs w:val="22"/>
        </w:rPr>
        <w:t>fairer distribution of educational opportunities and the social benefits</w:t>
      </w:r>
      <w:r w:rsidR="00CE0775" w:rsidRPr="008814D3">
        <w:rPr>
          <w:rFonts w:ascii="Calibri" w:hAnsi="Calibri" w:cs="Calibri"/>
          <w:szCs w:val="22"/>
        </w:rPr>
        <w:t>’</w:t>
      </w:r>
      <w:r w:rsidRPr="008814D3">
        <w:rPr>
          <w:rFonts w:ascii="Calibri" w:hAnsi="Calibri" w:cs="Calibri"/>
          <w:szCs w:val="22"/>
        </w:rPr>
        <w:t xml:space="preserve"> (Papadopoulos, 1994, p.</w:t>
      </w:r>
      <w:r w:rsidR="00CE0775" w:rsidRPr="008814D3">
        <w:rPr>
          <w:rFonts w:ascii="Calibri" w:hAnsi="Calibri" w:cs="Calibri"/>
          <w:szCs w:val="22"/>
        </w:rPr>
        <w:t xml:space="preserve"> </w:t>
      </w:r>
      <w:r w:rsidRPr="008814D3">
        <w:rPr>
          <w:rFonts w:ascii="Calibri" w:hAnsi="Calibri" w:cs="Calibri"/>
          <w:szCs w:val="22"/>
        </w:rPr>
        <w:t xml:space="preserve">106). Although the 1974 oil crisis meant that </w:t>
      </w:r>
      <w:r w:rsidR="00CE0775" w:rsidRPr="008814D3">
        <w:rPr>
          <w:rFonts w:ascii="Calibri" w:hAnsi="Calibri" w:cs="Calibri"/>
          <w:szCs w:val="22"/>
        </w:rPr>
        <w:t>‘</w:t>
      </w:r>
      <w:r w:rsidRPr="008814D3">
        <w:rPr>
          <w:rFonts w:ascii="Calibri" w:hAnsi="Calibri" w:cs="Calibri"/>
          <w:szCs w:val="22"/>
        </w:rPr>
        <w:t>social and equality considerations receded to the background, giving way to economic ones</w:t>
      </w:r>
      <w:r w:rsidR="00CE0775" w:rsidRPr="008814D3">
        <w:rPr>
          <w:rFonts w:ascii="Calibri" w:hAnsi="Calibri" w:cs="Calibri"/>
          <w:szCs w:val="22"/>
        </w:rPr>
        <w:t>’</w:t>
      </w:r>
      <w:r w:rsidRPr="008814D3">
        <w:rPr>
          <w:rFonts w:ascii="Calibri" w:hAnsi="Calibri" w:cs="Calibri"/>
          <w:szCs w:val="22"/>
        </w:rPr>
        <w:t xml:space="preserve"> (p.</w:t>
      </w:r>
      <w:r w:rsidR="00CE0775" w:rsidRPr="008814D3">
        <w:rPr>
          <w:rFonts w:ascii="Calibri" w:hAnsi="Calibri" w:cs="Calibri"/>
          <w:szCs w:val="22"/>
        </w:rPr>
        <w:t xml:space="preserve"> </w:t>
      </w:r>
      <w:r w:rsidRPr="008814D3">
        <w:rPr>
          <w:rFonts w:ascii="Calibri" w:hAnsi="Calibri" w:cs="Calibri"/>
          <w:szCs w:val="22"/>
        </w:rPr>
        <w:t xml:space="preserve">202), by the early 1980s, the OECD was aware of the </w:t>
      </w:r>
      <w:r w:rsidR="00CE0775" w:rsidRPr="008814D3">
        <w:rPr>
          <w:rFonts w:ascii="Calibri" w:hAnsi="Calibri" w:cs="Calibri"/>
          <w:szCs w:val="22"/>
        </w:rPr>
        <w:t>‘</w:t>
      </w:r>
      <w:r w:rsidRPr="008814D3">
        <w:rPr>
          <w:rFonts w:ascii="Calibri" w:hAnsi="Calibri" w:cs="Calibri"/>
          <w:szCs w:val="22"/>
        </w:rPr>
        <w:t>painful social consequences, which both sharpened disadvantage and extended it to new groups</w:t>
      </w:r>
      <w:r w:rsidR="00CE0775" w:rsidRPr="008814D3">
        <w:rPr>
          <w:rFonts w:ascii="Calibri" w:hAnsi="Calibri" w:cs="Calibri"/>
          <w:szCs w:val="22"/>
        </w:rPr>
        <w:t>’</w:t>
      </w:r>
      <w:r w:rsidRPr="008814D3">
        <w:rPr>
          <w:rFonts w:ascii="Calibri" w:hAnsi="Calibri" w:cs="Calibri"/>
          <w:szCs w:val="22"/>
        </w:rPr>
        <w:t xml:space="preserve"> (p.</w:t>
      </w:r>
      <w:r w:rsidR="00CE0775" w:rsidRPr="008814D3">
        <w:rPr>
          <w:rFonts w:ascii="Calibri" w:hAnsi="Calibri" w:cs="Calibri"/>
          <w:szCs w:val="22"/>
        </w:rPr>
        <w:t xml:space="preserve"> </w:t>
      </w:r>
      <w:r w:rsidRPr="008814D3">
        <w:rPr>
          <w:rFonts w:ascii="Calibri" w:hAnsi="Calibri" w:cs="Calibri"/>
          <w:szCs w:val="22"/>
        </w:rPr>
        <w:t>166).</w:t>
      </w:r>
      <w:r w:rsidR="00CA0AEB">
        <w:rPr>
          <w:rFonts w:ascii="Calibri" w:hAnsi="Calibri" w:cs="Calibri"/>
          <w:szCs w:val="22"/>
        </w:rPr>
        <w:t xml:space="preserve"> </w:t>
      </w:r>
      <w:r w:rsidRPr="008814D3">
        <w:rPr>
          <w:rFonts w:ascii="Calibri" w:hAnsi="Calibri" w:cs="Calibri"/>
          <w:szCs w:val="22"/>
        </w:rPr>
        <w:t xml:space="preserve">By the late 1980s, the OECD began – with pressure and financial support from the USA, to become involved in the collection of statistical time series of educational performance in member states, more aligned with economic imperatives. But, as </w:t>
      </w:r>
      <w:r w:rsidR="00BE7A36">
        <w:rPr>
          <w:rFonts w:ascii="Calibri" w:hAnsi="Calibri" w:cs="Calibri"/>
          <w:szCs w:val="22"/>
        </w:rPr>
        <w:t xml:space="preserve">Fazal </w:t>
      </w:r>
      <w:r w:rsidRPr="008814D3">
        <w:rPr>
          <w:rFonts w:ascii="Calibri" w:hAnsi="Calibri" w:cs="Calibri"/>
          <w:szCs w:val="22"/>
        </w:rPr>
        <w:lastRenderedPageBreak/>
        <w:t>Riz</w:t>
      </w:r>
      <w:r w:rsidR="0005049D" w:rsidRPr="008814D3">
        <w:rPr>
          <w:rFonts w:ascii="Calibri" w:hAnsi="Calibri" w:cs="Calibri"/>
          <w:szCs w:val="22"/>
        </w:rPr>
        <w:t>v</w:t>
      </w:r>
      <w:r w:rsidRPr="008814D3">
        <w:rPr>
          <w:rFonts w:ascii="Calibri" w:hAnsi="Calibri" w:cs="Calibri"/>
          <w:szCs w:val="22"/>
        </w:rPr>
        <w:t xml:space="preserve">i and </w:t>
      </w:r>
      <w:r w:rsidR="00BE7A36">
        <w:rPr>
          <w:rFonts w:ascii="Calibri" w:hAnsi="Calibri" w:cs="Calibri"/>
          <w:szCs w:val="22"/>
        </w:rPr>
        <w:t xml:space="preserve">Bob </w:t>
      </w:r>
      <w:r w:rsidRPr="008814D3">
        <w:rPr>
          <w:rFonts w:ascii="Calibri" w:hAnsi="Calibri" w:cs="Calibri"/>
          <w:szCs w:val="22"/>
        </w:rPr>
        <w:t>Lingard (2009) observed, Papadopoulos had not then realised the extent of this shift:</w:t>
      </w:r>
      <w:r w:rsidR="00CA0AEB">
        <w:rPr>
          <w:rFonts w:ascii="Calibri" w:hAnsi="Calibri" w:cs="Calibri"/>
          <w:szCs w:val="22"/>
        </w:rPr>
        <w:t xml:space="preserve"> </w:t>
      </w:r>
      <w:r w:rsidRPr="008814D3">
        <w:rPr>
          <w:rFonts w:ascii="Calibri" w:hAnsi="Calibri" w:cs="Calibri"/>
          <w:szCs w:val="22"/>
        </w:rPr>
        <w:t xml:space="preserve">equality and social cohesion through education </w:t>
      </w:r>
      <w:r w:rsidR="00CE0775" w:rsidRPr="008814D3">
        <w:rPr>
          <w:rFonts w:ascii="Calibri" w:hAnsi="Calibri" w:cs="Calibri"/>
          <w:szCs w:val="22"/>
        </w:rPr>
        <w:t>‘</w:t>
      </w:r>
      <w:r w:rsidRPr="008814D3">
        <w:rPr>
          <w:rFonts w:ascii="Calibri" w:hAnsi="Calibri" w:cs="Calibri"/>
          <w:szCs w:val="22"/>
        </w:rPr>
        <w:t>have been thoroughly rearticulated … becoming instruments of economic policy associated with a new vocabulary of the knowledge economy</w:t>
      </w:r>
      <w:r w:rsidR="00CE0775" w:rsidRPr="008814D3">
        <w:rPr>
          <w:rFonts w:ascii="Calibri" w:hAnsi="Calibri" w:cs="Calibri"/>
          <w:szCs w:val="22"/>
        </w:rPr>
        <w:t>’</w:t>
      </w:r>
      <w:r w:rsidRPr="008814D3">
        <w:rPr>
          <w:rFonts w:ascii="Calibri" w:hAnsi="Calibri" w:cs="Calibri"/>
          <w:szCs w:val="22"/>
        </w:rPr>
        <w:t xml:space="preserve"> (2009, p.</w:t>
      </w:r>
      <w:r w:rsidR="00CE0775" w:rsidRPr="008814D3">
        <w:rPr>
          <w:rFonts w:ascii="Calibri" w:hAnsi="Calibri" w:cs="Calibri"/>
          <w:szCs w:val="22"/>
        </w:rPr>
        <w:t xml:space="preserve"> </w:t>
      </w:r>
      <w:r w:rsidRPr="008814D3">
        <w:rPr>
          <w:rFonts w:ascii="Calibri" w:hAnsi="Calibri" w:cs="Calibri"/>
          <w:szCs w:val="22"/>
        </w:rPr>
        <w:t>437).</w:t>
      </w:r>
      <w:r w:rsidR="00CA0AEB">
        <w:rPr>
          <w:rFonts w:ascii="Calibri" w:hAnsi="Calibri" w:cs="Calibri"/>
          <w:szCs w:val="22"/>
        </w:rPr>
        <w:t xml:space="preserve"> </w:t>
      </w:r>
    </w:p>
    <w:p w14:paraId="6583E6EA" w14:textId="77777777" w:rsidR="005F3433" w:rsidRPr="008814D3" w:rsidRDefault="005F3433" w:rsidP="005F3433">
      <w:pPr>
        <w:shd w:val="clear" w:color="auto" w:fill="FFFFFF"/>
        <w:rPr>
          <w:rFonts w:ascii="Calibri" w:hAnsi="Calibri" w:cs="Calibri"/>
          <w:szCs w:val="22"/>
        </w:rPr>
      </w:pPr>
    </w:p>
    <w:p w14:paraId="103E86B6" w14:textId="521FB51D" w:rsidR="005F3433" w:rsidRPr="008814D3" w:rsidRDefault="005F3433" w:rsidP="005F3433">
      <w:pPr>
        <w:rPr>
          <w:rFonts w:ascii="Calibri" w:hAnsi="Calibri" w:cs="Calibri"/>
          <w:szCs w:val="22"/>
        </w:rPr>
      </w:pPr>
      <w:r w:rsidRPr="008814D3">
        <w:rPr>
          <w:rFonts w:ascii="Calibri" w:hAnsi="Calibri" w:cs="Calibri"/>
          <w:szCs w:val="22"/>
        </w:rPr>
        <w:t xml:space="preserve">Until the 1990s, only eleven states in Europe used national tests in compulsory education, six more began in the 1990s, and by 2009 only four states did </w:t>
      </w:r>
      <w:r w:rsidRPr="008814D3">
        <w:rPr>
          <w:rFonts w:ascii="Calibri" w:hAnsi="Calibri" w:cs="Calibri"/>
          <w:i/>
          <w:iCs/>
          <w:szCs w:val="22"/>
        </w:rPr>
        <w:t>not</w:t>
      </w:r>
      <w:r w:rsidRPr="008814D3">
        <w:rPr>
          <w:rFonts w:ascii="Calibri" w:hAnsi="Calibri" w:cs="Calibri"/>
          <w:szCs w:val="22"/>
        </w:rPr>
        <w:t xml:space="preserve"> have standardised national test (Rey, 2010).</w:t>
      </w:r>
      <w:r w:rsidR="00CA0AEB">
        <w:rPr>
          <w:rFonts w:ascii="Calibri" w:hAnsi="Calibri" w:cs="Calibri"/>
          <w:szCs w:val="22"/>
        </w:rPr>
        <w:t xml:space="preserve"> </w:t>
      </w:r>
      <w:r w:rsidRPr="008814D3">
        <w:rPr>
          <w:rFonts w:ascii="Calibri" w:hAnsi="Calibri" w:cs="Calibri"/>
          <w:szCs w:val="22"/>
        </w:rPr>
        <w:t>PISA was introduced first in 2000, and while it has highlighted issues of inequity (for example, the association between social background and educational performance</w:t>
      </w:r>
      <w:r w:rsidR="003811D5">
        <w:rPr>
          <w:rFonts w:ascii="Calibri" w:hAnsi="Calibri" w:cs="Calibri"/>
          <w:szCs w:val="22"/>
        </w:rPr>
        <w:t xml:space="preserve">: </w:t>
      </w:r>
      <w:r w:rsidR="005165F0" w:rsidRPr="008814D3">
        <w:rPr>
          <w:rFonts w:ascii="Calibri" w:hAnsi="Calibri" w:cs="Calibri"/>
          <w:szCs w:val="22"/>
        </w:rPr>
        <w:t xml:space="preserve">see </w:t>
      </w:r>
      <w:proofErr w:type="spellStart"/>
      <w:r w:rsidR="006E2C8C" w:rsidRPr="008814D3">
        <w:rPr>
          <w:rFonts w:ascii="Calibri" w:hAnsi="Calibri" w:cs="Calibri"/>
          <w:szCs w:val="22"/>
        </w:rPr>
        <w:t>Hartsmar</w:t>
      </w:r>
      <w:proofErr w:type="spellEnd"/>
      <w:r w:rsidR="006E2C8C" w:rsidRPr="008814D3">
        <w:rPr>
          <w:rFonts w:ascii="Calibri" w:hAnsi="Calibri" w:cs="Calibri"/>
          <w:szCs w:val="22"/>
        </w:rPr>
        <w:t xml:space="preserve"> </w:t>
      </w:r>
      <w:r w:rsidR="006E2C8C" w:rsidRPr="008814D3">
        <w:rPr>
          <w:rFonts w:ascii="Calibri" w:hAnsi="Calibri" w:cs="Calibri"/>
          <w:i/>
          <w:iCs/>
          <w:szCs w:val="22"/>
        </w:rPr>
        <w:t>et al.</w:t>
      </w:r>
      <w:r w:rsidR="00A33BD8" w:rsidRPr="008814D3">
        <w:rPr>
          <w:rFonts w:ascii="Calibri" w:hAnsi="Calibri" w:cs="Calibri"/>
          <w:szCs w:val="22"/>
        </w:rPr>
        <w:t xml:space="preserve">, </w:t>
      </w:r>
      <w:r w:rsidR="006E2C8C" w:rsidRPr="008814D3">
        <w:rPr>
          <w:rFonts w:ascii="Calibri" w:hAnsi="Calibri" w:cs="Calibri"/>
          <w:szCs w:val="22"/>
        </w:rPr>
        <w:t>2020</w:t>
      </w:r>
      <w:r w:rsidR="005165F0" w:rsidRPr="008814D3">
        <w:rPr>
          <w:rFonts w:ascii="Calibri" w:hAnsi="Calibri" w:cs="Calibri"/>
          <w:szCs w:val="22"/>
        </w:rPr>
        <w:t xml:space="preserve">; </w:t>
      </w:r>
      <w:r w:rsidR="00A40F72" w:rsidRPr="008814D3">
        <w:rPr>
          <w:rFonts w:ascii="Calibri" w:hAnsi="Calibri" w:cs="Calibri"/>
          <w:szCs w:val="22"/>
        </w:rPr>
        <w:t>Chapter 13</w:t>
      </w:r>
      <w:r w:rsidRPr="008814D3">
        <w:rPr>
          <w:rFonts w:ascii="Calibri" w:hAnsi="Calibri" w:cs="Calibri"/>
          <w:szCs w:val="22"/>
        </w:rPr>
        <w:t>), its discourse of equity has been incorporated into economic rationality (</w:t>
      </w:r>
      <w:proofErr w:type="spellStart"/>
      <w:r w:rsidRPr="009324F1">
        <w:rPr>
          <w:rStyle w:val="a-size-large"/>
          <w:rFonts w:ascii="Calibri" w:hAnsi="Calibri" w:cs="Calibri"/>
          <w:szCs w:val="22"/>
        </w:rPr>
        <w:t>d’Agnese</w:t>
      </w:r>
      <w:proofErr w:type="spellEnd"/>
      <w:r w:rsidRPr="009324F1">
        <w:rPr>
          <w:rStyle w:val="a-size-large"/>
          <w:rFonts w:ascii="Calibri" w:hAnsi="Calibri" w:cs="Calibri"/>
          <w:szCs w:val="22"/>
        </w:rPr>
        <w:t>, 2018a,b</w:t>
      </w:r>
      <w:r w:rsidRPr="008814D3">
        <w:rPr>
          <w:rStyle w:val="a-size-large"/>
          <w:rFonts w:ascii="Calibri" w:hAnsi="Calibri" w:cs="Calibri"/>
          <w:sz w:val="20"/>
          <w:szCs w:val="20"/>
        </w:rPr>
        <w:t>)</w:t>
      </w:r>
      <w:r w:rsidRPr="008814D3">
        <w:rPr>
          <w:rFonts w:ascii="Calibri" w:hAnsi="Calibri" w:cs="Calibri"/>
          <w:szCs w:val="22"/>
        </w:rPr>
        <w:t>. Rizvi and Lingard (2009, p.</w:t>
      </w:r>
      <w:r w:rsidR="005165F0" w:rsidRPr="008814D3">
        <w:rPr>
          <w:rFonts w:ascii="Calibri" w:hAnsi="Calibri" w:cs="Calibri"/>
          <w:szCs w:val="22"/>
        </w:rPr>
        <w:t xml:space="preserve"> </w:t>
      </w:r>
      <w:r w:rsidRPr="008814D3">
        <w:rPr>
          <w:rFonts w:ascii="Calibri" w:hAnsi="Calibri" w:cs="Calibri"/>
          <w:szCs w:val="22"/>
        </w:rPr>
        <w:t xml:space="preserve">448) also suggest that equality has been relegated from being a moral value by the OECD to become a component of the development of human capital. Rizvi (2013) had described this as a shift from a social democratic to a market construction of equity. </w:t>
      </w:r>
      <w:r w:rsidR="00024CDF" w:rsidRPr="008814D3">
        <w:rPr>
          <w:rFonts w:ascii="Calibri" w:hAnsi="Calibri" w:cs="Calibri"/>
          <w:szCs w:val="22"/>
        </w:rPr>
        <w:t>‘</w:t>
      </w:r>
      <w:r w:rsidRPr="008814D3">
        <w:rPr>
          <w:rFonts w:ascii="Calibri" w:hAnsi="Calibri" w:cs="Calibri"/>
          <w:szCs w:val="22"/>
        </w:rPr>
        <w:t>Equity has become separated from traditional ideas of social justice and re-articulated as formal access to education and participation in markets</w:t>
      </w:r>
      <w:r w:rsidR="00806220" w:rsidRPr="008814D3">
        <w:rPr>
          <w:rFonts w:ascii="Calibri" w:hAnsi="Calibri" w:cs="Calibri"/>
          <w:szCs w:val="22"/>
        </w:rPr>
        <w:t>’</w:t>
      </w:r>
      <w:r w:rsidRPr="008814D3">
        <w:rPr>
          <w:rFonts w:ascii="Calibri" w:hAnsi="Calibri" w:cs="Calibri"/>
          <w:szCs w:val="22"/>
        </w:rPr>
        <w:t xml:space="preserve"> (</w:t>
      </w:r>
      <w:proofErr w:type="spellStart"/>
      <w:r w:rsidRPr="008814D3">
        <w:rPr>
          <w:rFonts w:ascii="Calibri" w:hAnsi="Calibri" w:cs="Calibri"/>
          <w:szCs w:val="22"/>
        </w:rPr>
        <w:t>Bøyum</w:t>
      </w:r>
      <w:proofErr w:type="spellEnd"/>
      <w:r w:rsidRPr="008814D3">
        <w:rPr>
          <w:rFonts w:ascii="Calibri" w:hAnsi="Calibri" w:cs="Calibri"/>
          <w:szCs w:val="22"/>
        </w:rPr>
        <w:t xml:space="preserve">, 2014, </w:t>
      </w:r>
      <w:r w:rsidR="00AE231E" w:rsidRPr="008814D3">
        <w:rPr>
          <w:rFonts w:ascii="Calibri" w:hAnsi="Calibri" w:cs="Calibri"/>
          <w:szCs w:val="22"/>
        </w:rPr>
        <w:t xml:space="preserve">p. </w:t>
      </w:r>
      <w:r w:rsidRPr="008814D3">
        <w:rPr>
          <w:rFonts w:ascii="Calibri" w:hAnsi="Calibri" w:cs="Calibri"/>
          <w:szCs w:val="22"/>
        </w:rPr>
        <w:t xml:space="preserve">857). </w:t>
      </w:r>
    </w:p>
    <w:p w14:paraId="49C2B694" w14:textId="77777777" w:rsidR="005F3433" w:rsidRPr="008814D3" w:rsidRDefault="005F3433" w:rsidP="005F3433">
      <w:pPr>
        <w:shd w:val="clear" w:color="auto" w:fill="FFFFFF"/>
        <w:rPr>
          <w:rFonts w:ascii="Calibri" w:hAnsi="Calibri" w:cs="Calibri"/>
          <w:szCs w:val="22"/>
        </w:rPr>
      </w:pPr>
    </w:p>
    <w:p w14:paraId="2A9A9E9F" w14:textId="79ECECAB" w:rsidR="00773A0A" w:rsidRPr="008814D3" w:rsidRDefault="00BE7A36" w:rsidP="005F3433">
      <w:pPr>
        <w:shd w:val="clear" w:color="auto" w:fill="FFFFFF"/>
        <w:rPr>
          <w:rFonts w:ascii="Calibri" w:hAnsi="Calibri" w:cs="Calibri"/>
          <w:color w:val="111111"/>
          <w:szCs w:val="22"/>
          <w:shd w:val="clear" w:color="auto" w:fill="FFFFFF"/>
        </w:rPr>
      </w:pPr>
      <w:r>
        <w:rPr>
          <w:rFonts w:ascii="Calibri" w:hAnsi="Calibri" w:cs="Calibri"/>
          <w:szCs w:val="22"/>
        </w:rPr>
        <w:t xml:space="preserve">Steinar </w:t>
      </w:r>
      <w:proofErr w:type="spellStart"/>
      <w:r w:rsidR="008C2181" w:rsidRPr="008814D3">
        <w:rPr>
          <w:rFonts w:ascii="Calibri" w:hAnsi="Calibri" w:cs="Calibri"/>
          <w:szCs w:val="22"/>
        </w:rPr>
        <w:t>Bøyum</w:t>
      </w:r>
      <w:proofErr w:type="spellEnd"/>
      <w:r w:rsidR="005F3433" w:rsidRPr="008814D3">
        <w:rPr>
          <w:rFonts w:ascii="Calibri" w:hAnsi="Calibri" w:cs="Calibri"/>
          <w:szCs w:val="22"/>
        </w:rPr>
        <w:t xml:space="preserve"> analyses OECD policy documents in some depth, and concludes that it </w:t>
      </w:r>
      <w:r>
        <w:rPr>
          <w:rFonts w:ascii="Calibri" w:hAnsi="Calibri" w:cs="Calibri"/>
          <w:szCs w:val="22"/>
        </w:rPr>
        <w:t>’</w:t>
      </w:r>
      <w:r w:rsidR="005F3433" w:rsidRPr="008814D3">
        <w:rPr>
          <w:rFonts w:ascii="Calibri" w:hAnsi="Calibri" w:cs="Calibri"/>
          <w:szCs w:val="22"/>
        </w:rPr>
        <w:t>explicitly operates with a loose idea of equal opportunity, compatible with even a merely formal equality, but implicitly with a meritocratic variant of fair equality of opportunity</w:t>
      </w:r>
      <w:r>
        <w:rPr>
          <w:rFonts w:ascii="Calibri" w:hAnsi="Calibri" w:cs="Calibri"/>
          <w:szCs w:val="22"/>
        </w:rPr>
        <w:t>’</w:t>
      </w:r>
      <w:r w:rsidR="005F3433" w:rsidRPr="008814D3">
        <w:rPr>
          <w:rFonts w:ascii="Calibri" w:hAnsi="Calibri" w:cs="Calibri"/>
          <w:szCs w:val="22"/>
        </w:rPr>
        <w:t>” (</w:t>
      </w:r>
      <w:proofErr w:type="spellStart"/>
      <w:r w:rsidR="005F3433" w:rsidRPr="008814D3">
        <w:rPr>
          <w:rFonts w:ascii="Calibri" w:hAnsi="Calibri" w:cs="Calibri"/>
          <w:szCs w:val="22"/>
        </w:rPr>
        <w:t>Bøyum</w:t>
      </w:r>
      <w:proofErr w:type="spellEnd"/>
      <w:r w:rsidR="005F3433" w:rsidRPr="008814D3">
        <w:rPr>
          <w:rFonts w:ascii="Calibri" w:hAnsi="Calibri" w:cs="Calibri"/>
          <w:szCs w:val="22"/>
        </w:rPr>
        <w:t>,</w:t>
      </w:r>
      <w:r w:rsidR="00AE231E" w:rsidRPr="008814D3">
        <w:rPr>
          <w:rFonts w:ascii="Calibri" w:hAnsi="Calibri" w:cs="Calibri"/>
          <w:szCs w:val="22"/>
        </w:rPr>
        <w:t xml:space="preserve"> </w:t>
      </w:r>
      <w:r w:rsidR="005F3433" w:rsidRPr="008814D3">
        <w:rPr>
          <w:rFonts w:ascii="Calibri" w:hAnsi="Calibri" w:cs="Calibri"/>
          <w:szCs w:val="22"/>
        </w:rPr>
        <w:t>2014, p.</w:t>
      </w:r>
      <w:r w:rsidR="00D559B4" w:rsidRPr="008814D3">
        <w:rPr>
          <w:rFonts w:ascii="Calibri" w:hAnsi="Calibri" w:cs="Calibri"/>
          <w:szCs w:val="22"/>
        </w:rPr>
        <w:t xml:space="preserve"> </w:t>
      </w:r>
      <w:r w:rsidR="005F3433" w:rsidRPr="008814D3">
        <w:rPr>
          <w:rFonts w:ascii="Calibri" w:hAnsi="Calibri" w:cs="Calibri"/>
          <w:szCs w:val="22"/>
        </w:rPr>
        <w:t>865)</w:t>
      </w:r>
      <w:r w:rsidR="00AD6145">
        <w:rPr>
          <w:rFonts w:ascii="Calibri" w:hAnsi="Calibri" w:cs="Calibri"/>
          <w:szCs w:val="22"/>
        </w:rPr>
        <w:t>.</w:t>
      </w:r>
      <w:r w:rsidR="00CA0AEB">
        <w:rPr>
          <w:rFonts w:ascii="Calibri" w:hAnsi="Calibri" w:cs="Calibri"/>
          <w:szCs w:val="22"/>
        </w:rPr>
        <w:t xml:space="preserve"> </w:t>
      </w:r>
      <w:r w:rsidR="005F3433" w:rsidRPr="008814D3">
        <w:rPr>
          <w:rFonts w:ascii="Calibri" w:hAnsi="Calibri" w:cs="Calibri"/>
          <w:szCs w:val="22"/>
        </w:rPr>
        <w:t>He concludes that the OECD’s processes isolate educational</w:t>
      </w:r>
      <w:r w:rsidR="00CA0AEB">
        <w:rPr>
          <w:rFonts w:ascii="Calibri" w:hAnsi="Calibri" w:cs="Calibri"/>
          <w:szCs w:val="22"/>
        </w:rPr>
        <w:t xml:space="preserve"> </w:t>
      </w:r>
      <w:r w:rsidR="005F3433" w:rsidRPr="008814D3">
        <w:rPr>
          <w:rFonts w:ascii="Calibri" w:hAnsi="Calibri" w:cs="Calibri"/>
          <w:szCs w:val="22"/>
        </w:rPr>
        <w:t>justice from social justice in general:</w:t>
      </w:r>
      <w:r w:rsidR="00CA0AEB">
        <w:rPr>
          <w:rFonts w:ascii="Calibri" w:hAnsi="Calibri" w:cs="Calibri"/>
          <w:szCs w:val="22"/>
        </w:rPr>
        <w:t xml:space="preserve"> </w:t>
      </w:r>
      <w:r w:rsidR="005F3433" w:rsidRPr="008814D3">
        <w:rPr>
          <w:rFonts w:ascii="Calibri" w:hAnsi="Calibri" w:cs="Calibri"/>
          <w:szCs w:val="22"/>
        </w:rPr>
        <w:t xml:space="preserve">their </w:t>
      </w:r>
      <w:r w:rsidR="003B0D4F" w:rsidRPr="008814D3">
        <w:rPr>
          <w:rFonts w:ascii="Calibri" w:hAnsi="Calibri" w:cs="Calibri"/>
          <w:szCs w:val="22"/>
        </w:rPr>
        <w:t>‘</w:t>
      </w:r>
      <w:r w:rsidR="005F3433" w:rsidRPr="008814D3">
        <w:rPr>
          <w:rFonts w:ascii="Calibri" w:hAnsi="Calibri" w:cs="Calibri"/>
          <w:szCs w:val="22"/>
        </w:rPr>
        <w:t>emphasis [is] on equality of opportunity as a means through which to achieve positions in the social hierarchy … [but there] is no discussion of the rightfulness of that social hierarchy itself</w:t>
      </w:r>
      <w:r w:rsidR="003B0D4F" w:rsidRPr="008814D3">
        <w:rPr>
          <w:rFonts w:ascii="Calibri" w:hAnsi="Calibri" w:cs="Calibri"/>
          <w:szCs w:val="22"/>
        </w:rPr>
        <w:t>’</w:t>
      </w:r>
      <w:r w:rsidR="005F3433" w:rsidRPr="008814D3">
        <w:rPr>
          <w:rFonts w:ascii="Calibri" w:hAnsi="Calibri" w:cs="Calibri"/>
          <w:szCs w:val="22"/>
        </w:rPr>
        <w:t xml:space="preserve"> (p.</w:t>
      </w:r>
      <w:r w:rsidR="003B0D4F" w:rsidRPr="008814D3">
        <w:rPr>
          <w:rFonts w:ascii="Calibri" w:hAnsi="Calibri" w:cs="Calibri"/>
          <w:szCs w:val="22"/>
        </w:rPr>
        <w:t xml:space="preserve"> </w:t>
      </w:r>
      <w:r w:rsidR="005F3433" w:rsidRPr="008814D3">
        <w:rPr>
          <w:rFonts w:ascii="Calibri" w:hAnsi="Calibri" w:cs="Calibri"/>
          <w:szCs w:val="22"/>
        </w:rPr>
        <w:t>867).</w:t>
      </w:r>
      <w:r w:rsidR="00CA0AEB">
        <w:rPr>
          <w:rFonts w:ascii="Calibri" w:hAnsi="Calibri" w:cs="Calibri"/>
          <w:szCs w:val="22"/>
        </w:rPr>
        <w:t xml:space="preserve"> </w:t>
      </w:r>
      <w:r w:rsidR="005F3433" w:rsidRPr="008814D3">
        <w:rPr>
          <w:rFonts w:ascii="Calibri" w:hAnsi="Calibri" w:cs="Calibri"/>
          <w:szCs w:val="22"/>
        </w:rPr>
        <w:t>This is not merely a European phenomenon: f</w:t>
      </w:r>
      <w:r w:rsidR="005F3433" w:rsidRPr="008814D3">
        <w:rPr>
          <w:rFonts w:ascii="Calibri" w:hAnsi="Calibri" w:cs="Calibri"/>
          <w:color w:val="111111"/>
          <w:szCs w:val="22"/>
          <w:shd w:val="clear" w:color="auto" w:fill="FFFFFF"/>
        </w:rPr>
        <w:t xml:space="preserve">rom Ontario, </w:t>
      </w:r>
      <w:r>
        <w:rPr>
          <w:rFonts w:ascii="Calibri" w:hAnsi="Calibri" w:cs="Calibri"/>
          <w:color w:val="111111"/>
          <w:szCs w:val="22"/>
          <w:shd w:val="clear" w:color="auto" w:fill="FFFFFF"/>
        </w:rPr>
        <w:t xml:space="preserve">Gol </w:t>
      </w:r>
      <w:proofErr w:type="spellStart"/>
      <w:r w:rsidR="005F3433" w:rsidRPr="008814D3">
        <w:rPr>
          <w:rFonts w:ascii="Calibri" w:hAnsi="Calibri" w:cs="Calibri"/>
          <w:color w:val="111111"/>
          <w:szCs w:val="22"/>
          <w:shd w:val="clear" w:color="auto" w:fill="FFFFFF"/>
        </w:rPr>
        <w:t>Rezai-Rashtini</w:t>
      </w:r>
      <w:proofErr w:type="spellEnd"/>
      <w:r w:rsidR="005F3433" w:rsidRPr="008814D3">
        <w:rPr>
          <w:rFonts w:ascii="Calibri" w:hAnsi="Calibri" w:cs="Calibri"/>
          <w:color w:val="111111"/>
          <w:szCs w:val="22"/>
          <w:shd w:val="clear" w:color="auto" w:fill="FFFFFF"/>
        </w:rPr>
        <w:t xml:space="preserve"> </w:t>
      </w:r>
      <w:r w:rsidR="00EE1AD2" w:rsidRPr="008814D3">
        <w:rPr>
          <w:rFonts w:ascii="Calibri" w:hAnsi="Calibri" w:cs="Calibri"/>
          <w:color w:val="111111"/>
          <w:szCs w:val="22"/>
          <w:shd w:val="clear" w:color="auto" w:fill="FFFFFF"/>
        </w:rPr>
        <w:t xml:space="preserve">(2017) </w:t>
      </w:r>
      <w:r w:rsidR="005F3433" w:rsidRPr="008814D3">
        <w:rPr>
          <w:rFonts w:ascii="Calibri" w:hAnsi="Calibri" w:cs="Calibri"/>
          <w:color w:val="111111"/>
          <w:szCs w:val="22"/>
          <w:shd w:val="clear" w:color="auto" w:fill="FFFFFF"/>
        </w:rPr>
        <w:t>and her colleagues report that PISA has led to</w:t>
      </w:r>
      <w:r>
        <w:rPr>
          <w:rFonts w:ascii="Calibri" w:hAnsi="Calibri" w:cs="Calibri"/>
          <w:color w:val="111111"/>
          <w:szCs w:val="22"/>
          <w:shd w:val="clear" w:color="auto" w:fill="FFFFFF"/>
        </w:rPr>
        <w:t>:</w:t>
      </w:r>
      <w:r w:rsidR="005F3433" w:rsidRPr="008814D3">
        <w:rPr>
          <w:rFonts w:ascii="Calibri" w:hAnsi="Calibri" w:cs="Calibri"/>
          <w:color w:val="111111"/>
          <w:szCs w:val="22"/>
          <w:shd w:val="clear" w:color="auto" w:fill="FFFFFF"/>
        </w:rPr>
        <w:t xml:space="preserve"> </w:t>
      </w:r>
    </w:p>
    <w:p w14:paraId="6430F820" w14:textId="77777777" w:rsidR="00773A0A" w:rsidRPr="008814D3" w:rsidRDefault="00773A0A" w:rsidP="005F3433">
      <w:pPr>
        <w:shd w:val="clear" w:color="auto" w:fill="FFFFFF"/>
        <w:rPr>
          <w:rFonts w:ascii="Calibri" w:hAnsi="Calibri" w:cs="Calibri"/>
          <w:color w:val="111111"/>
          <w:szCs w:val="22"/>
          <w:shd w:val="clear" w:color="auto" w:fill="FFFFFF"/>
        </w:rPr>
      </w:pPr>
    </w:p>
    <w:p w14:paraId="4DE32A06" w14:textId="24B7057C" w:rsidR="005F3433" w:rsidRPr="008814D3" w:rsidRDefault="00EF1D52" w:rsidP="00773A0A">
      <w:pPr>
        <w:shd w:val="clear" w:color="auto" w:fill="FFFFFF"/>
        <w:ind w:left="720"/>
        <w:rPr>
          <w:rFonts w:ascii="Calibri" w:hAnsi="Calibri" w:cs="Calibri"/>
          <w:color w:val="111111"/>
          <w:szCs w:val="22"/>
          <w:shd w:val="clear" w:color="auto" w:fill="FFFFFF"/>
        </w:rPr>
      </w:pPr>
      <w:r>
        <w:rPr>
          <w:rFonts w:ascii="Calibri" w:hAnsi="Calibri" w:cs="Calibri"/>
          <w:color w:val="111111"/>
          <w:szCs w:val="22"/>
          <w:shd w:val="clear" w:color="auto" w:fill="FFFFFF"/>
        </w:rPr>
        <w:t xml:space="preserve">… </w:t>
      </w:r>
      <w:r w:rsidR="00FA1358">
        <w:rPr>
          <w:rFonts w:ascii="Calibri" w:hAnsi="Calibri" w:cs="Calibri"/>
          <w:color w:val="111111"/>
          <w:szCs w:val="22"/>
          <w:shd w:val="clear" w:color="auto" w:fill="FFFFFF"/>
        </w:rPr>
        <w:t xml:space="preserve">[the] </w:t>
      </w:r>
      <w:r w:rsidR="005F3433" w:rsidRPr="008814D3">
        <w:rPr>
          <w:rFonts w:ascii="Calibri" w:hAnsi="Calibri" w:cs="Calibri"/>
          <w:color w:val="111111"/>
          <w:szCs w:val="22"/>
          <w:shd w:val="clear" w:color="auto" w:fill="FFFFFF"/>
        </w:rPr>
        <w:t>redefinition of equity … made possible through neoliberal systems of accountability and performativity involving measurement and facticity (</w:t>
      </w:r>
      <w:proofErr w:type="spellStart"/>
      <w:r w:rsidR="005F3433" w:rsidRPr="008814D3">
        <w:rPr>
          <w:rFonts w:ascii="Calibri" w:hAnsi="Calibri" w:cs="Calibri"/>
          <w:color w:val="111111"/>
          <w:szCs w:val="22"/>
          <w:shd w:val="clear" w:color="auto" w:fill="FFFFFF"/>
        </w:rPr>
        <w:t>Sardo</w:t>
      </w:r>
      <w:r w:rsidR="00034F41" w:rsidRPr="008814D3">
        <w:rPr>
          <w:rFonts w:ascii="Calibri" w:hAnsi="Calibri" w:cs="Calibri"/>
          <w:color w:val="111111"/>
          <w:szCs w:val="22"/>
          <w:shd w:val="clear" w:color="auto" w:fill="FFFFFF"/>
        </w:rPr>
        <w:t>č</w:t>
      </w:r>
      <w:proofErr w:type="spellEnd"/>
      <w:r w:rsidR="005F3433" w:rsidRPr="008814D3">
        <w:rPr>
          <w:rFonts w:ascii="Calibri" w:hAnsi="Calibri" w:cs="Calibri"/>
          <w:color w:val="111111"/>
          <w:szCs w:val="22"/>
          <w:shd w:val="clear" w:color="auto" w:fill="FFFFFF"/>
        </w:rPr>
        <w:t>, 2018). As a result of these strategies, equity policy in education has been concerned with outcome measurement and boys’ underachievement, while racial and class inequalities have become invisible</w:t>
      </w:r>
      <w:r w:rsidR="00773A0A" w:rsidRPr="008814D3">
        <w:rPr>
          <w:rFonts w:ascii="Calibri" w:hAnsi="Calibri" w:cs="Calibri"/>
          <w:color w:val="111111"/>
          <w:szCs w:val="22"/>
          <w:shd w:val="clear" w:color="auto" w:fill="FFFFFF"/>
        </w:rPr>
        <w:t>.</w:t>
      </w:r>
      <w:r w:rsidR="005F3433" w:rsidRPr="008814D3">
        <w:rPr>
          <w:rFonts w:ascii="Calibri" w:hAnsi="Calibri" w:cs="Calibri"/>
          <w:color w:val="111111"/>
          <w:szCs w:val="22"/>
          <w:shd w:val="clear" w:color="auto" w:fill="FFFFFF"/>
        </w:rPr>
        <w:t xml:space="preserve"> (</w:t>
      </w:r>
      <w:proofErr w:type="spellStart"/>
      <w:r w:rsidR="005F3433" w:rsidRPr="008814D3">
        <w:rPr>
          <w:rFonts w:ascii="Calibri" w:hAnsi="Calibri" w:cs="Calibri"/>
          <w:color w:val="111111"/>
          <w:szCs w:val="22"/>
          <w:shd w:val="clear" w:color="auto" w:fill="FFFFFF"/>
        </w:rPr>
        <w:t>Rezai-Rashti</w:t>
      </w:r>
      <w:proofErr w:type="spellEnd"/>
      <w:r w:rsidR="005F3433" w:rsidRPr="008814D3">
        <w:rPr>
          <w:rFonts w:ascii="Calibri" w:hAnsi="Calibri" w:cs="Calibri"/>
          <w:color w:val="111111"/>
          <w:szCs w:val="22"/>
          <w:shd w:val="clear" w:color="auto" w:fill="FFFFFF"/>
        </w:rPr>
        <w:t xml:space="preserve"> </w:t>
      </w:r>
      <w:r w:rsidR="005F3433" w:rsidRPr="008814D3">
        <w:rPr>
          <w:rFonts w:ascii="Calibri" w:hAnsi="Calibri" w:cs="Calibri"/>
          <w:i/>
          <w:iCs/>
          <w:color w:val="111111"/>
          <w:szCs w:val="22"/>
          <w:shd w:val="clear" w:color="auto" w:fill="FFFFFF"/>
        </w:rPr>
        <w:t>et al</w:t>
      </w:r>
      <w:r w:rsidR="003B0D4F" w:rsidRPr="008814D3">
        <w:rPr>
          <w:rFonts w:ascii="Calibri" w:hAnsi="Calibri" w:cs="Calibri"/>
          <w:i/>
          <w:iCs/>
          <w:color w:val="111111"/>
          <w:szCs w:val="22"/>
          <w:shd w:val="clear" w:color="auto" w:fill="FFFFFF"/>
        </w:rPr>
        <w:t>.</w:t>
      </w:r>
      <w:r w:rsidR="005F3433" w:rsidRPr="008814D3">
        <w:rPr>
          <w:rFonts w:ascii="Calibri" w:hAnsi="Calibri" w:cs="Calibri"/>
          <w:color w:val="111111"/>
          <w:szCs w:val="22"/>
          <w:shd w:val="clear" w:color="auto" w:fill="FFFFFF"/>
        </w:rPr>
        <w:t>, 2017, p.</w:t>
      </w:r>
      <w:r w:rsidR="003B0D4F" w:rsidRPr="008814D3">
        <w:rPr>
          <w:rFonts w:ascii="Calibri" w:hAnsi="Calibri" w:cs="Calibri"/>
          <w:color w:val="111111"/>
          <w:szCs w:val="22"/>
          <w:shd w:val="clear" w:color="auto" w:fill="FFFFFF"/>
        </w:rPr>
        <w:t xml:space="preserve"> </w:t>
      </w:r>
      <w:r w:rsidR="005F3433" w:rsidRPr="008814D3">
        <w:rPr>
          <w:rFonts w:ascii="Calibri" w:hAnsi="Calibri" w:cs="Calibri"/>
          <w:color w:val="111111"/>
          <w:szCs w:val="22"/>
          <w:shd w:val="clear" w:color="auto" w:fill="FFFFFF"/>
        </w:rPr>
        <w:t>160)</w:t>
      </w:r>
    </w:p>
    <w:p w14:paraId="1ED0155A" w14:textId="77777777" w:rsidR="005F3433" w:rsidRPr="008814D3" w:rsidRDefault="005F3433" w:rsidP="005F3433">
      <w:pPr>
        <w:shd w:val="clear" w:color="auto" w:fill="FFFFFF"/>
        <w:rPr>
          <w:rFonts w:ascii="Arial" w:hAnsi="Arial" w:cs="Arial"/>
          <w:color w:val="111111"/>
        </w:rPr>
      </w:pPr>
    </w:p>
    <w:p w14:paraId="2FCFEA20" w14:textId="63452713" w:rsidR="005F3433" w:rsidRPr="008814D3" w:rsidRDefault="005F3433" w:rsidP="005F3433">
      <w:pPr>
        <w:rPr>
          <w:rFonts w:ascii="Calibri" w:hAnsi="Calibri" w:cs="Calibri"/>
          <w:szCs w:val="22"/>
        </w:rPr>
      </w:pPr>
      <w:r w:rsidRPr="008814D3">
        <w:rPr>
          <w:rFonts w:ascii="Calibri" w:hAnsi="Calibri" w:cs="Calibri"/>
          <w:szCs w:val="22"/>
        </w:rPr>
        <w:t xml:space="preserve">Ambitions to address educational inequity thus fit uneasily with other policy initiatives and ideologies. The European Union has set itself the target of maintaining (or improving) </w:t>
      </w:r>
      <w:smartTag w:uri="urn:schemas-microsoft-com:office:smarttags" w:element="place">
        <w:r w:rsidRPr="008814D3">
          <w:rPr>
            <w:rFonts w:ascii="Calibri" w:hAnsi="Calibri" w:cs="Calibri"/>
            <w:szCs w:val="22"/>
          </w:rPr>
          <w:t>Europe</w:t>
        </w:r>
      </w:smartTag>
      <w:r w:rsidRPr="008814D3">
        <w:rPr>
          <w:rFonts w:ascii="Calibri" w:hAnsi="Calibri" w:cs="Calibri"/>
          <w:szCs w:val="22"/>
        </w:rPr>
        <w:t>’s comparative educational ranking.</w:t>
      </w:r>
      <w:r w:rsidR="00CA0AEB">
        <w:rPr>
          <w:rFonts w:ascii="Calibri" w:hAnsi="Calibri" w:cs="Calibri"/>
          <w:szCs w:val="22"/>
        </w:rPr>
        <w:t xml:space="preserve"> </w:t>
      </w:r>
      <w:r w:rsidRPr="008814D3">
        <w:rPr>
          <w:rFonts w:ascii="Calibri" w:hAnsi="Calibri" w:cs="Calibri"/>
          <w:szCs w:val="22"/>
        </w:rPr>
        <w:t xml:space="preserve">The Lisbon Council concluded that the target of becoming </w:t>
      </w:r>
      <w:r w:rsidR="003B0D4F" w:rsidRPr="008814D3">
        <w:rPr>
          <w:rFonts w:ascii="Calibri" w:hAnsi="Calibri" w:cs="Calibri"/>
          <w:szCs w:val="22"/>
        </w:rPr>
        <w:t>‘</w:t>
      </w:r>
      <w:r w:rsidRPr="008814D3">
        <w:rPr>
          <w:rFonts w:ascii="Calibri" w:hAnsi="Calibri" w:cs="Calibri"/>
          <w:iCs/>
          <w:szCs w:val="22"/>
        </w:rPr>
        <w:t>the most competitive and dynamic knowledge-based economy in the world</w:t>
      </w:r>
      <w:r w:rsidR="00852009" w:rsidRPr="008814D3">
        <w:rPr>
          <w:rFonts w:ascii="Calibri" w:hAnsi="Calibri" w:cs="Calibri"/>
          <w:iCs/>
          <w:szCs w:val="22"/>
        </w:rPr>
        <w:t>’</w:t>
      </w:r>
      <w:r w:rsidRPr="008814D3">
        <w:rPr>
          <w:rFonts w:ascii="Calibri" w:hAnsi="Calibri" w:cs="Calibri"/>
          <w:iCs/>
          <w:szCs w:val="22"/>
        </w:rPr>
        <w:t xml:space="preserve"> (</w:t>
      </w:r>
      <w:r w:rsidRPr="008814D3">
        <w:rPr>
          <w:rFonts w:ascii="Calibri" w:hAnsi="Calibri" w:cs="Calibri"/>
          <w:szCs w:val="22"/>
        </w:rPr>
        <w:t>European Union, 2000</w:t>
      </w:r>
      <w:r w:rsidRPr="008814D3">
        <w:rPr>
          <w:rFonts w:ascii="Calibri" w:hAnsi="Calibri" w:cs="Calibri"/>
          <w:iCs/>
          <w:szCs w:val="22"/>
        </w:rPr>
        <w:t xml:space="preserve">, </w:t>
      </w:r>
      <w:r w:rsidR="006A7C6B">
        <w:rPr>
          <w:rFonts w:ascii="Calibri" w:hAnsi="Calibri" w:cs="Calibri"/>
          <w:szCs w:val="22"/>
        </w:rPr>
        <w:t>para.</w:t>
      </w:r>
      <w:r w:rsidRPr="008814D3">
        <w:rPr>
          <w:rFonts w:ascii="Calibri" w:hAnsi="Calibri" w:cs="Calibri"/>
          <w:szCs w:val="22"/>
        </w:rPr>
        <w:t xml:space="preserve"> 5)</w:t>
      </w:r>
      <w:r w:rsidRPr="008814D3">
        <w:rPr>
          <w:rFonts w:ascii="Calibri" w:hAnsi="Calibri" w:cs="Calibri"/>
          <w:iCs/>
          <w:szCs w:val="22"/>
        </w:rPr>
        <w:t xml:space="preserve"> required </w:t>
      </w:r>
      <w:r w:rsidRPr="008814D3">
        <w:rPr>
          <w:rFonts w:ascii="Calibri" w:hAnsi="Calibri" w:cs="Calibri"/>
          <w:szCs w:val="22"/>
        </w:rPr>
        <w:t xml:space="preserve">Europe's education systems </w:t>
      </w:r>
      <w:r w:rsidR="00852009" w:rsidRPr="008814D3">
        <w:rPr>
          <w:rFonts w:ascii="Calibri" w:hAnsi="Calibri" w:cs="Calibri"/>
          <w:szCs w:val="22"/>
        </w:rPr>
        <w:t>‘</w:t>
      </w:r>
      <w:r w:rsidRPr="008814D3">
        <w:rPr>
          <w:rFonts w:ascii="Calibri" w:hAnsi="Calibri" w:cs="Calibri"/>
          <w:szCs w:val="22"/>
        </w:rPr>
        <w:t>adapt both to the demands of the knowledge society and to the need for an improved level and quality of employment</w:t>
      </w:r>
      <w:r w:rsidR="00852009" w:rsidRPr="008814D3">
        <w:rPr>
          <w:rFonts w:ascii="Calibri" w:hAnsi="Calibri" w:cs="Calibri"/>
          <w:szCs w:val="22"/>
        </w:rPr>
        <w:t>’</w:t>
      </w:r>
      <w:r w:rsidRPr="008814D3">
        <w:rPr>
          <w:rFonts w:ascii="Calibri" w:hAnsi="Calibri" w:cs="Calibri"/>
          <w:szCs w:val="22"/>
        </w:rPr>
        <w:t xml:space="preserve"> </w:t>
      </w:r>
      <w:r w:rsidRPr="008814D3">
        <w:rPr>
          <w:rFonts w:ascii="Calibri" w:hAnsi="Calibri" w:cs="Calibri"/>
          <w:iCs/>
          <w:szCs w:val="22"/>
        </w:rPr>
        <w:t>(</w:t>
      </w:r>
      <w:r w:rsidR="006A7C6B">
        <w:rPr>
          <w:rFonts w:ascii="Calibri" w:hAnsi="Calibri" w:cs="Calibri"/>
          <w:szCs w:val="22"/>
        </w:rPr>
        <w:t>para.</w:t>
      </w:r>
      <w:r w:rsidRPr="008814D3">
        <w:rPr>
          <w:rFonts w:ascii="Calibri" w:hAnsi="Calibri" w:cs="Calibri"/>
          <w:szCs w:val="22"/>
        </w:rPr>
        <w:t xml:space="preserve"> 25). The Commission has developed these strategies, and recent documents stress that education should be seen in economic terms, designed to create a competitive economy (European Commission, 2007).</w:t>
      </w:r>
      <w:r w:rsidR="00CA0AEB">
        <w:rPr>
          <w:rFonts w:ascii="Calibri" w:hAnsi="Calibri" w:cs="Calibri"/>
          <w:szCs w:val="22"/>
        </w:rPr>
        <w:t xml:space="preserve"> </w:t>
      </w:r>
      <w:r w:rsidRPr="008814D3">
        <w:rPr>
          <w:rFonts w:ascii="Calibri" w:hAnsi="Calibri" w:cs="Calibri"/>
          <w:szCs w:val="22"/>
        </w:rPr>
        <w:t>Educational success is often positioned as key to employment: it becomes not just important to do well in education – other people have to do worse, if one is to gain employment in a competitive market.</w:t>
      </w:r>
      <w:r w:rsidR="00CA0AEB">
        <w:rPr>
          <w:rFonts w:ascii="Calibri" w:hAnsi="Calibri" w:cs="Calibri"/>
          <w:szCs w:val="22"/>
        </w:rPr>
        <w:t xml:space="preserve"> </w:t>
      </w:r>
    </w:p>
    <w:p w14:paraId="56558B97" w14:textId="77777777" w:rsidR="005F3433" w:rsidRPr="008814D3" w:rsidRDefault="005F3433" w:rsidP="005F3433">
      <w:pPr>
        <w:pStyle w:val="BodyTextIndent"/>
        <w:spacing w:after="0"/>
        <w:ind w:left="0"/>
        <w:rPr>
          <w:rFonts w:ascii="Calibri" w:hAnsi="Calibri" w:cs="Calibri"/>
          <w:sz w:val="22"/>
          <w:szCs w:val="22"/>
        </w:rPr>
      </w:pPr>
    </w:p>
    <w:p w14:paraId="2AD90203" w14:textId="5533A24F" w:rsidR="005F3433" w:rsidRPr="008814D3" w:rsidRDefault="005F3433" w:rsidP="005F3433">
      <w:pPr>
        <w:pStyle w:val="BodyTextIndent"/>
        <w:spacing w:after="0"/>
        <w:ind w:left="0"/>
        <w:rPr>
          <w:rFonts w:ascii="Calibri" w:hAnsi="Calibri" w:cs="Calibri"/>
          <w:sz w:val="22"/>
          <w:szCs w:val="22"/>
        </w:rPr>
      </w:pPr>
      <w:r w:rsidRPr="008814D3">
        <w:rPr>
          <w:rFonts w:ascii="Calibri" w:hAnsi="Calibri" w:cs="Calibri"/>
          <w:sz w:val="22"/>
          <w:szCs w:val="22"/>
        </w:rPr>
        <w:t>There are similar competitive motivations in the way that individuals now view education.</w:t>
      </w:r>
      <w:r w:rsidR="00CA0AEB">
        <w:rPr>
          <w:rFonts w:ascii="Calibri" w:hAnsi="Calibri" w:cs="Calibri"/>
          <w:sz w:val="22"/>
          <w:szCs w:val="22"/>
        </w:rPr>
        <w:t xml:space="preserve"> </w:t>
      </w:r>
      <w:r w:rsidRPr="008814D3">
        <w:rPr>
          <w:rFonts w:ascii="Calibri" w:hAnsi="Calibri" w:cs="Calibri"/>
          <w:sz w:val="22"/>
          <w:szCs w:val="22"/>
        </w:rPr>
        <w:t>Many individual parents and students view education as a zero-sum game: there are inexorably winners and losers.</w:t>
      </w:r>
      <w:r w:rsidR="00CA0AEB">
        <w:rPr>
          <w:rFonts w:ascii="Calibri" w:hAnsi="Calibri" w:cs="Calibri"/>
          <w:sz w:val="22"/>
          <w:szCs w:val="22"/>
        </w:rPr>
        <w:t xml:space="preserve"> </w:t>
      </w:r>
      <w:r w:rsidRPr="008814D3">
        <w:rPr>
          <w:rFonts w:ascii="Calibri" w:hAnsi="Calibri" w:cs="Calibri"/>
          <w:sz w:val="22"/>
          <w:szCs w:val="22"/>
        </w:rPr>
        <w:t>It is not merely that if one child wins, another loses: the point is that the other child</w:t>
      </w:r>
      <w:r w:rsidRPr="008814D3">
        <w:rPr>
          <w:rFonts w:ascii="Calibri" w:hAnsi="Calibri" w:cs="Calibri"/>
          <w:i/>
          <w:sz w:val="22"/>
          <w:szCs w:val="22"/>
        </w:rPr>
        <w:t xml:space="preserve"> must</w:t>
      </w:r>
      <w:r w:rsidRPr="008814D3">
        <w:rPr>
          <w:rFonts w:ascii="Calibri" w:hAnsi="Calibri" w:cs="Calibri"/>
          <w:sz w:val="22"/>
          <w:szCs w:val="22"/>
        </w:rPr>
        <w:t xml:space="preserve"> lose in order for education to have been ‘successful’.</w:t>
      </w:r>
      <w:r w:rsidR="00CA0AEB">
        <w:rPr>
          <w:rFonts w:ascii="Calibri" w:hAnsi="Calibri" w:cs="Calibri"/>
          <w:sz w:val="22"/>
          <w:szCs w:val="22"/>
        </w:rPr>
        <w:t xml:space="preserve"> </w:t>
      </w:r>
      <w:r w:rsidRPr="008814D3">
        <w:rPr>
          <w:rFonts w:ascii="Calibri" w:hAnsi="Calibri" w:cs="Calibri"/>
          <w:sz w:val="22"/>
          <w:szCs w:val="22"/>
        </w:rPr>
        <w:t>The commodification of education, its location in a competitive market, and the dominant discourse of instrumentalism have turned education into a game that requires losers in order to be successful</w:t>
      </w:r>
      <w:r w:rsidR="00CA0AEB">
        <w:rPr>
          <w:rFonts w:ascii="Calibri" w:hAnsi="Calibri" w:cs="Calibri"/>
          <w:sz w:val="22"/>
          <w:szCs w:val="22"/>
        </w:rPr>
        <w:t xml:space="preserve"> </w:t>
      </w:r>
      <w:r w:rsidRPr="008814D3">
        <w:rPr>
          <w:rFonts w:ascii="Calibri" w:hAnsi="Calibri" w:cs="Calibri"/>
          <w:sz w:val="22"/>
          <w:szCs w:val="22"/>
        </w:rPr>
        <w:t>(Ball, 2003; Reay, 2006</w:t>
      </w:r>
      <w:r w:rsidR="00285B97">
        <w:rPr>
          <w:rFonts w:ascii="Calibri" w:hAnsi="Calibri" w:cs="Calibri"/>
          <w:sz w:val="22"/>
          <w:szCs w:val="22"/>
        </w:rPr>
        <w:t>a</w:t>
      </w:r>
      <w:r w:rsidRPr="008814D3">
        <w:rPr>
          <w:rFonts w:ascii="Calibri" w:hAnsi="Calibri" w:cs="Calibri"/>
          <w:sz w:val="22"/>
          <w:szCs w:val="22"/>
        </w:rPr>
        <w:t xml:space="preserve">). </w:t>
      </w:r>
    </w:p>
    <w:p w14:paraId="40DEED7F" w14:textId="77777777" w:rsidR="005F3433" w:rsidRPr="008814D3" w:rsidRDefault="005F3433" w:rsidP="005F3433">
      <w:pPr>
        <w:shd w:val="clear" w:color="auto" w:fill="FFFFFF"/>
        <w:rPr>
          <w:rFonts w:ascii="Calibri" w:hAnsi="Calibri" w:cs="Calibri"/>
          <w:szCs w:val="22"/>
        </w:rPr>
      </w:pPr>
    </w:p>
    <w:p w14:paraId="4349F295" w14:textId="3E60C1CA" w:rsidR="005F3433" w:rsidRPr="008814D3" w:rsidRDefault="005F3433" w:rsidP="005F3433">
      <w:pPr>
        <w:shd w:val="clear" w:color="auto" w:fill="FFFFFF"/>
        <w:rPr>
          <w:rFonts w:ascii="Calibri" w:hAnsi="Calibri" w:cs="Calibri"/>
          <w:szCs w:val="22"/>
        </w:rPr>
      </w:pPr>
      <w:r w:rsidRPr="008814D3">
        <w:rPr>
          <w:rFonts w:ascii="Calibri" w:hAnsi="Calibri" w:cs="Calibri"/>
          <w:szCs w:val="22"/>
        </w:rPr>
        <w:t xml:space="preserve">Our broad conceptions of social justice and equity thus sit uneasily with the dominant policy ideology of the nature of ‘scientific investigation’ and of the neoliberal political orthodoxy of the use </w:t>
      </w:r>
      <w:r w:rsidRPr="008814D3">
        <w:rPr>
          <w:rFonts w:ascii="Calibri" w:hAnsi="Calibri" w:cs="Calibri"/>
          <w:szCs w:val="22"/>
        </w:rPr>
        <w:lastRenderedPageBreak/>
        <w:t>of the market to determine ‘public good’.</w:t>
      </w:r>
      <w:r w:rsidR="00CA0AEB">
        <w:rPr>
          <w:rFonts w:ascii="Calibri" w:hAnsi="Calibri" w:cs="Calibri"/>
          <w:szCs w:val="22"/>
        </w:rPr>
        <w:t xml:space="preserve"> </w:t>
      </w:r>
      <w:r w:rsidRPr="008814D3">
        <w:rPr>
          <w:rFonts w:ascii="Calibri" w:hAnsi="Calibri" w:cs="Calibri"/>
          <w:szCs w:val="22"/>
        </w:rPr>
        <w:t xml:space="preserve">The following section briefly describes how the authors of the chapters in this book worked together as educational researchers for social justice. </w:t>
      </w:r>
    </w:p>
    <w:p w14:paraId="06EC28FB" w14:textId="77777777" w:rsidR="005F3433" w:rsidRPr="008814D3" w:rsidRDefault="005F3433" w:rsidP="005F3433">
      <w:pPr>
        <w:shd w:val="clear" w:color="auto" w:fill="FFFFFF"/>
        <w:rPr>
          <w:rFonts w:ascii="Calibri" w:hAnsi="Calibri" w:cs="Calibri"/>
          <w:color w:val="008000"/>
          <w:szCs w:val="22"/>
        </w:rPr>
      </w:pPr>
    </w:p>
    <w:p w14:paraId="2CECD969" w14:textId="77777777" w:rsidR="005F3433" w:rsidRPr="008814D3" w:rsidRDefault="005F3433" w:rsidP="005F3433">
      <w:pPr>
        <w:shd w:val="clear" w:color="auto" w:fill="FFFFFF"/>
        <w:rPr>
          <w:rFonts w:ascii="Calibri" w:hAnsi="Calibri" w:cs="Calibri"/>
          <w:color w:val="008000"/>
          <w:szCs w:val="22"/>
        </w:rPr>
      </w:pPr>
    </w:p>
    <w:p w14:paraId="155D5BC7" w14:textId="50F41AC1" w:rsidR="005F3433" w:rsidRPr="008814D3" w:rsidRDefault="005F3433" w:rsidP="00AE654F">
      <w:pPr>
        <w:pStyle w:val="Heading2"/>
      </w:pPr>
      <w:r w:rsidRPr="008814D3">
        <w:t>The Institute for Policy Studies in Education</w:t>
      </w:r>
    </w:p>
    <w:p w14:paraId="39969179" w14:textId="77777777" w:rsidR="005F3433" w:rsidRPr="008814D3" w:rsidRDefault="005F3433" w:rsidP="005F3433">
      <w:pPr>
        <w:shd w:val="clear" w:color="auto" w:fill="FFFFFF"/>
        <w:rPr>
          <w:rFonts w:ascii="Calibri" w:hAnsi="Calibri" w:cs="Calibri"/>
          <w:b/>
          <w:szCs w:val="22"/>
        </w:rPr>
      </w:pPr>
    </w:p>
    <w:p w14:paraId="6057A0ED" w14:textId="4CB7A2F4" w:rsidR="005F3433" w:rsidRPr="008814D3" w:rsidRDefault="005F3433" w:rsidP="005F3433">
      <w:pPr>
        <w:shd w:val="clear" w:color="auto" w:fill="FFFFFF"/>
        <w:rPr>
          <w:rFonts w:ascii="Calibri" w:hAnsi="Calibri" w:cs="Calibri"/>
          <w:color w:val="222222"/>
          <w:szCs w:val="22"/>
        </w:rPr>
      </w:pPr>
      <w:r w:rsidRPr="008814D3">
        <w:rPr>
          <w:rFonts w:ascii="Calibri" w:hAnsi="Calibri" w:cs="Calibri"/>
          <w:color w:val="222222"/>
          <w:szCs w:val="22"/>
        </w:rPr>
        <w:t>We have all worked together in a single research institute, based in London, that was very largely funded through research contracts with state, parastatals and charitable foundations with variable degrees of independence from state control. We have thus been working within and notionally for the ideological structures and systems that we criticise, operating to a degree to provide research ‘solutions’ that fit within the ideological mindsets of our funders.</w:t>
      </w:r>
      <w:r w:rsidR="00CA0AEB">
        <w:rPr>
          <w:rFonts w:ascii="Calibri" w:hAnsi="Calibri" w:cs="Calibri"/>
          <w:color w:val="222222"/>
          <w:szCs w:val="22"/>
        </w:rPr>
        <w:t xml:space="preserve"> </w:t>
      </w:r>
      <w:r w:rsidRPr="008814D3">
        <w:rPr>
          <w:rFonts w:ascii="Calibri" w:hAnsi="Calibri" w:cs="Calibri"/>
          <w:color w:val="222222"/>
          <w:szCs w:val="22"/>
        </w:rPr>
        <w:t>There is some utility in such sponsorship, in that the commissions we undertook, by virtue of their patron’s position, enabled us to readily access our research subjects.</w:t>
      </w:r>
      <w:r w:rsidR="00CA0AEB">
        <w:rPr>
          <w:rFonts w:ascii="Calibri" w:hAnsi="Calibri" w:cs="Calibri"/>
          <w:color w:val="222222"/>
          <w:szCs w:val="22"/>
        </w:rPr>
        <w:t xml:space="preserve"> </w:t>
      </w:r>
      <w:r w:rsidRPr="008814D3">
        <w:rPr>
          <w:rFonts w:ascii="Calibri" w:hAnsi="Calibri" w:cs="Calibri"/>
          <w:color w:val="222222"/>
          <w:szCs w:val="22"/>
        </w:rPr>
        <w:t>But undertaking such work has inherent disadvantages, in that the sponsor’s ideological constructions of the nature of the public good can constrain and pre-determine the direction of research and constrain the scope of its findings.</w:t>
      </w:r>
      <w:r w:rsidR="00CA0AEB">
        <w:rPr>
          <w:rFonts w:ascii="Calibri" w:hAnsi="Calibri" w:cs="Calibri"/>
          <w:color w:val="222222"/>
          <w:szCs w:val="22"/>
        </w:rPr>
        <w:t xml:space="preserve"> </w:t>
      </w:r>
      <w:r w:rsidRPr="008814D3">
        <w:rPr>
          <w:rFonts w:ascii="Calibri" w:hAnsi="Calibri" w:cs="Calibri"/>
          <w:color w:val="222222"/>
          <w:szCs w:val="22"/>
        </w:rPr>
        <w:t xml:space="preserve">Chris Duke points to the hazard of the ‘political practice of commissioning research to support a prepared policy rather than inform its policy’: mission-orientated research (such as we have described here) ‘in the highly politicized conditions of … a neoliberal era is problematic’ (Duke, 2016, p.20). The rhetoric of research-led policy is readily subverted into research that substantiates and validates particular policies, becoming what is policy-led research (Hayler and Williamson, 2016). Like Robin Alexander, our </w:t>
      </w:r>
      <w:r w:rsidR="007C5BB5" w:rsidRPr="008814D3">
        <w:rPr>
          <w:rFonts w:ascii="Calibri" w:hAnsi="Calibri" w:cs="Calibri"/>
          <w:color w:val="222222"/>
          <w:szCs w:val="22"/>
        </w:rPr>
        <w:t>‘</w:t>
      </w:r>
      <w:r w:rsidRPr="008814D3">
        <w:rPr>
          <w:rFonts w:ascii="Calibri" w:hAnsi="Calibri" w:cs="Calibri"/>
          <w:color w:val="222222"/>
          <w:szCs w:val="22"/>
        </w:rPr>
        <w:t>stance is of both outsider and insider</w:t>
      </w:r>
      <w:r w:rsidR="007C5BB5" w:rsidRPr="008814D3">
        <w:rPr>
          <w:rFonts w:ascii="Calibri" w:hAnsi="Calibri" w:cs="Calibri"/>
          <w:color w:val="222222"/>
          <w:szCs w:val="22"/>
        </w:rPr>
        <w:t>’</w:t>
      </w:r>
      <w:r w:rsidRPr="008814D3">
        <w:rPr>
          <w:rFonts w:ascii="Calibri" w:hAnsi="Calibri" w:cs="Calibri"/>
          <w:color w:val="222222"/>
          <w:szCs w:val="22"/>
        </w:rPr>
        <w:t xml:space="preserve"> (2014, p.</w:t>
      </w:r>
      <w:r w:rsidR="007C5BB5" w:rsidRPr="008814D3">
        <w:rPr>
          <w:rFonts w:ascii="Calibri" w:hAnsi="Calibri" w:cs="Calibri"/>
          <w:color w:val="222222"/>
          <w:szCs w:val="22"/>
        </w:rPr>
        <w:t xml:space="preserve"> </w:t>
      </w:r>
      <w:r w:rsidRPr="008814D3">
        <w:rPr>
          <w:rFonts w:ascii="Calibri" w:hAnsi="Calibri" w:cs="Calibri"/>
          <w:color w:val="222222"/>
          <w:szCs w:val="22"/>
        </w:rPr>
        <w:t>352).</w:t>
      </w:r>
      <w:r w:rsidR="00CA0AEB">
        <w:rPr>
          <w:rFonts w:ascii="Calibri" w:hAnsi="Calibri" w:cs="Calibri"/>
          <w:color w:val="222222"/>
          <w:szCs w:val="22"/>
        </w:rPr>
        <w:t xml:space="preserve"> </w:t>
      </w:r>
      <w:r w:rsidRPr="008814D3">
        <w:rPr>
          <w:rFonts w:ascii="Calibri" w:hAnsi="Calibri" w:cs="Calibri"/>
          <w:color w:val="222222"/>
          <w:szCs w:val="22"/>
        </w:rPr>
        <w:t>We acknowledge that this might make our work vulnerable to criticisms of partisanship, or of being constrained to fit the commissioner’s needs, and address this in more detail below.</w:t>
      </w:r>
      <w:r w:rsidR="00CA0AEB">
        <w:rPr>
          <w:rFonts w:ascii="Calibri" w:hAnsi="Calibri" w:cs="Calibri"/>
          <w:color w:val="222222"/>
          <w:szCs w:val="22"/>
        </w:rPr>
        <w:t xml:space="preserve"> </w:t>
      </w:r>
    </w:p>
    <w:p w14:paraId="1CC5995D" w14:textId="77777777" w:rsidR="005F3433" w:rsidRPr="008814D3" w:rsidRDefault="005F3433" w:rsidP="005F3433">
      <w:pPr>
        <w:shd w:val="clear" w:color="auto" w:fill="FFFFFF"/>
        <w:rPr>
          <w:rFonts w:ascii="Calibri" w:hAnsi="Calibri" w:cs="Calibri"/>
          <w:color w:val="222222"/>
          <w:szCs w:val="22"/>
        </w:rPr>
      </w:pPr>
    </w:p>
    <w:p w14:paraId="6FC3865B" w14:textId="57A09047" w:rsidR="00984028" w:rsidRDefault="005F3433" w:rsidP="00984028">
      <w:pPr>
        <w:shd w:val="clear" w:color="auto" w:fill="FFFFFF"/>
        <w:rPr>
          <w:rFonts w:ascii="Calibri" w:hAnsi="Calibri" w:cs="Calibri"/>
          <w:szCs w:val="22"/>
        </w:rPr>
      </w:pPr>
      <w:r w:rsidRPr="008814D3">
        <w:rPr>
          <w:rFonts w:ascii="Calibri" w:hAnsi="Calibri" w:cs="Calibri"/>
          <w:szCs w:val="22"/>
        </w:rPr>
        <w:t xml:space="preserve">We were established in early 2000 by the </w:t>
      </w:r>
      <w:smartTag w:uri="urn:schemas-microsoft-com:office:smarttags" w:element="PlaceType">
        <w:r w:rsidRPr="008814D3">
          <w:rPr>
            <w:rFonts w:ascii="Calibri" w:hAnsi="Calibri" w:cs="Calibri"/>
            <w:szCs w:val="22"/>
          </w:rPr>
          <w:t>University</w:t>
        </w:r>
      </w:smartTag>
      <w:r w:rsidRPr="008814D3">
        <w:rPr>
          <w:rFonts w:ascii="Calibri" w:hAnsi="Calibri" w:cs="Calibri"/>
          <w:szCs w:val="22"/>
        </w:rPr>
        <w:t xml:space="preserve"> of </w:t>
      </w:r>
      <w:smartTag w:uri="urn:schemas-microsoft-com:office:smarttags" w:element="PlaceName">
        <w:r w:rsidRPr="008814D3">
          <w:rPr>
            <w:rFonts w:ascii="Calibri" w:hAnsi="Calibri" w:cs="Calibri"/>
            <w:szCs w:val="22"/>
          </w:rPr>
          <w:t>North London</w:t>
        </w:r>
      </w:smartTag>
      <w:r w:rsidRPr="008814D3">
        <w:rPr>
          <w:rFonts w:ascii="Calibri" w:hAnsi="Calibri" w:cs="Calibri"/>
          <w:szCs w:val="22"/>
        </w:rPr>
        <w:t xml:space="preserve"> (now </w:t>
      </w:r>
      <w:smartTag w:uri="urn:schemas-microsoft-com:office:smarttags" w:element="place">
        <w:smartTag w:uri="urn:schemas-microsoft-com:office:smarttags" w:element="PlaceName">
          <w:r w:rsidRPr="008814D3">
            <w:rPr>
              <w:rFonts w:ascii="Calibri" w:hAnsi="Calibri" w:cs="Calibri"/>
              <w:szCs w:val="22"/>
            </w:rPr>
            <w:t>London</w:t>
          </w:r>
        </w:smartTag>
        <w:r w:rsidRPr="008814D3">
          <w:rPr>
            <w:rFonts w:ascii="Calibri" w:hAnsi="Calibri" w:cs="Calibri"/>
            <w:szCs w:val="22"/>
          </w:rPr>
          <w:t xml:space="preserve"> </w:t>
        </w:r>
        <w:smartTag w:uri="urn:schemas-microsoft-com:office:smarttags" w:element="PlaceName">
          <w:r w:rsidRPr="008814D3">
            <w:rPr>
              <w:rFonts w:ascii="Calibri" w:hAnsi="Calibri" w:cs="Calibri"/>
              <w:szCs w:val="22"/>
            </w:rPr>
            <w:t>Metropolitan</w:t>
          </w:r>
        </w:smartTag>
        <w:r w:rsidRPr="008814D3">
          <w:rPr>
            <w:rFonts w:ascii="Calibri" w:hAnsi="Calibri" w:cs="Calibri"/>
            <w:szCs w:val="22"/>
          </w:rPr>
          <w:t xml:space="preserve"> </w:t>
        </w:r>
        <w:smartTag w:uri="urn:schemas-microsoft-com:office:smarttags" w:element="PlaceType">
          <w:r w:rsidRPr="008814D3">
            <w:rPr>
              <w:rFonts w:ascii="Calibri" w:hAnsi="Calibri" w:cs="Calibri"/>
              <w:szCs w:val="22"/>
            </w:rPr>
            <w:t>University</w:t>
          </w:r>
        </w:smartTag>
      </w:smartTag>
      <w:r w:rsidRPr="008814D3">
        <w:rPr>
          <w:rFonts w:ascii="Calibri" w:hAnsi="Calibri" w:cs="Calibri"/>
          <w:szCs w:val="22"/>
        </w:rPr>
        <w:t>): the institution supported four members of staff with a small initial grant of £100,000 a year for five years: thereafter, we were expected to be largely self-supporting through attracting research grants and contracts. We put forward, to the University and to all our potential funders, our very explicit mission to research for social justice and equity in education.</w:t>
      </w:r>
      <w:r w:rsidR="00CA0AEB">
        <w:rPr>
          <w:rFonts w:ascii="Calibri" w:hAnsi="Calibri" w:cs="Calibri"/>
          <w:szCs w:val="22"/>
        </w:rPr>
        <w:t xml:space="preserve"> </w:t>
      </w:r>
      <w:r w:rsidRPr="008814D3">
        <w:rPr>
          <w:rFonts w:ascii="Calibri" w:hAnsi="Calibri" w:cs="Calibri"/>
          <w:szCs w:val="22"/>
        </w:rPr>
        <w:t>Our initial activities were principally a study of</w:t>
      </w:r>
      <w:r w:rsidR="00CA0AEB">
        <w:rPr>
          <w:rFonts w:ascii="Calibri" w:hAnsi="Calibri" w:cs="Calibri"/>
          <w:szCs w:val="22"/>
        </w:rPr>
        <w:t xml:space="preserve"> </w:t>
      </w:r>
      <w:r w:rsidRPr="008814D3">
        <w:rPr>
          <w:rFonts w:ascii="Calibri" w:hAnsi="Calibri" w:cs="Calibri"/>
          <w:szCs w:val="22"/>
        </w:rPr>
        <w:t>higher education and social class, looking particularly at the exclusion of working</w:t>
      </w:r>
      <w:r w:rsidR="00AB4965">
        <w:rPr>
          <w:rFonts w:ascii="Calibri" w:hAnsi="Calibri" w:cs="Calibri"/>
          <w:szCs w:val="22"/>
        </w:rPr>
        <w:t>-</w:t>
      </w:r>
      <w:r w:rsidRPr="008814D3">
        <w:rPr>
          <w:rFonts w:ascii="Calibri" w:hAnsi="Calibri" w:cs="Calibri"/>
          <w:szCs w:val="22"/>
        </w:rPr>
        <w:t>class young people (Archer, Hutchings and Ross</w:t>
      </w:r>
      <w:r w:rsidR="003811D5">
        <w:rPr>
          <w:rFonts w:ascii="Calibri" w:hAnsi="Calibri" w:cs="Calibri"/>
          <w:szCs w:val="22"/>
        </w:rPr>
        <w:t>,</w:t>
      </w:r>
      <w:r w:rsidRPr="008814D3">
        <w:rPr>
          <w:rFonts w:ascii="Calibri" w:hAnsi="Calibri" w:cs="Calibri"/>
          <w:szCs w:val="22"/>
        </w:rPr>
        <w:t xml:space="preserve"> 2003), an investigation of the teacher shortages in London (Hutchings </w:t>
      </w:r>
      <w:r w:rsidRPr="008814D3">
        <w:rPr>
          <w:rFonts w:ascii="Calibri" w:hAnsi="Calibri" w:cs="Calibri"/>
          <w:i/>
          <w:iCs/>
          <w:szCs w:val="22"/>
        </w:rPr>
        <w:t>et al.</w:t>
      </w:r>
      <w:r w:rsidRPr="008814D3">
        <w:rPr>
          <w:rFonts w:ascii="Calibri" w:hAnsi="Calibri" w:cs="Calibri"/>
          <w:szCs w:val="22"/>
        </w:rPr>
        <w:t>,</w:t>
      </w:r>
      <w:r w:rsidR="00CA0AEB">
        <w:rPr>
          <w:rFonts w:ascii="Calibri" w:hAnsi="Calibri" w:cs="Calibri"/>
          <w:szCs w:val="22"/>
        </w:rPr>
        <w:t xml:space="preserve"> </w:t>
      </w:r>
      <w:r w:rsidRPr="008814D3">
        <w:rPr>
          <w:rFonts w:ascii="Calibri" w:hAnsi="Calibri" w:cs="Calibri"/>
          <w:szCs w:val="22"/>
        </w:rPr>
        <w:t xml:space="preserve">2000; Ross and Hutchings, 2003; </w:t>
      </w:r>
      <w:proofErr w:type="spellStart"/>
      <w:r w:rsidRPr="008814D3">
        <w:rPr>
          <w:rFonts w:ascii="Calibri" w:hAnsi="Calibri" w:cs="Calibri"/>
          <w:szCs w:val="22"/>
        </w:rPr>
        <w:t>Menter</w:t>
      </w:r>
      <w:proofErr w:type="spellEnd"/>
      <w:r w:rsidRPr="008814D3">
        <w:rPr>
          <w:rFonts w:ascii="Calibri" w:hAnsi="Calibri" w:cs="Calibri"/>
          <w:szCs w:val="22"/>
        </w:rPr>
        <w:t xml:space="preserve"> </w:t>
      </w:r>
      <w:r w:rsidRPr="008814D3">
        <w:rPr>
          <w:rFonts w:ascii="Calibri" w:hAnsi="Calibri" w:cs="Calibri"/>
          <w:i/>
          <w:iCs/>
          <w:szCs w:val="22"/>
        </w:rPr>
        <w:t>et al</w:t>
      </w:r>
      <w:r w:rsidRPr="008814D3">
        <w:rPr>
          <w:rFonts w:ascii="Calibri" w:hAnsi="Calibri" w:cs="Calibri"/>
          <w:szCs w:val="22"/>
        </w:rPr>
        <w:t>., 2002) that developed to include the need to recruit teachers from the ethnic minorities (Ross, 2002</w:t>
      </w:r>
      <w:r w:rsidR="00301304" w:rsidRPr="008814D3">
        <w:rPr>
          <w:rFonts w:ascii="Calibri" w:hAnsi="Calibri" w:cs="Calibri"/>
          <w:szCs w:val="22"/>
        </w:rPr>
        <w:t>, 2012</w:t>
      </w:r>
      <w:r w:rsidRPr="008814D3">
        <w:rPr>
          <w:rFonts w:ascii="Calibri" w:hAnsi="Calibri" w:cs="Calibri"/>
          <w:szCs w:val="22"/>
        </w:rPr>
        <w:t>), a study of student progress of ‘non-traditional’ students in higher education (</w:t>
      </w:r>
      <w:proofErr w:type="spellStart"/>
      <w:r w:rsidRPr="008814D3">
        <w:rPr>
          <w:rFonts w:ascii="Calibri" w:hAnsi="Calibri" w:cs="Calibri"/>
          <w:szCs w:val="22"/>
        </w:rPr>
        <w:t>Leathwood</w:t>
      </w:r>
      <w:proofErr w:type="spellEnd"/>
      <w:r w:rsidRPr="008814D3">
        <w:rPr>
          <w:rFonts w:ascii="Calibri" w:hAnsi="Calibri" w:cs="Calibri"/>
          <w:szCs w:val="22"/>
        </w:rPr>
        <w:t xml:space="preserve"> and O’Connell, 2003) and the direction of a Socrates European Academic Network on Citizenship Education (Ross, 2000</w:t>
      </w:r>
      <w:r w:rsidR="00F76152">
        <w:rPr>
          <w:rFonts w:ascii="Calibri" w:hAnsi="Calibri" w:cs="Calibri"/>
          <w:szCs w:val="22"/>
        </w:rPr>
        <w:t>a</w:t>
      </w:r>
      <w:r w:rsidRPr="008814D3">
        <w:rPr>
          <w:rFonts w:ascii="Calibri" w:hAnsi="Calibri" w:cs="Calibri"/>
          <w:szCs w:val="22"/>
        </w:rPr>
        <w:t>).</w:t>
      </w:r>
      <w:r w:rsidR="00CA0AEB">
        <w:rPr>
          <w:rFonts w:ascii="Calibri" w:hAnsi="Calibri" w:cs="Calibri"/>
          <w:szCs w:val="22"/>
        </w:rPr>
        <w:t xml:space="preserve"> </w:t>
      </w:r>
    </w:p>
    <w:p w14:paraId="77D37DD9" w14:textId="77777777" w:rsidR="00984028" w:rsidRDefault="00984028" w:rsidP="00984028">
      <w:pPr>
        <w:shd w:val="clear" w:color="auto" w:fill="FFFFFF"/>
        <w:rPr>
          <w:rFonts w:ascii="Calibri" w:hAnsi="Calibri" w:cs="Calibri"/>
          <w:szCs w:val="22"/>
        </w:rPr>
      </w:pPr>
    </w:p>
    <w:p w14:paraId="7456DB7F" w14:textId="4531278E" w:rsidR="005F3433" w:rsidRPr="008814D3" w:rsidRDefault="00984028" w:rsidP="00984028">
      <w:pPr>
        <w:shd w:val="clear" w:color="auto" w:fill="FFFFFF"/>
        <w:rPr>
          <w:rFonts w:ascii="Calibri" w:hAnsi="Calibri" w:cs="Calibri"/>
          <w:szCs w:val="22"/>
        </w:rPr>
      </w:pPr>
      <w:r>
        <w:rPr>
          <w:rFonts w:ascii="Calibri" w:hAnsi="Calibri" w:cs="Calibri"/>
          <w:szCs w:val="22"/>
        </w:rPr>
        <w:t>W</w:t>
      </w:r>
      <w:r w:rsidR="005F3433" w:rsidRPr="008814D3">
        <w:rPr>
          <w:rFonts w:ascii="Calibri" w:hAnsi="Calibri" w:cs="Calibri"/>
          <w:szCs w:val="22"/>
        </w:rPr>
        <w:t>e quickly expanded in numbers, recruiting both established scholars and young researchers, to create a team of</w:t>
      </w:r>
      <w:r w:rsidR="00870D50" w:rsidRPr="008814D3">
        <w:rPr>
          <w:rFonts w:ascii="Calibri" w:hAnsi="Calibri" w:cs="Calibri"/>
          <w:szCs w:val="22"/>
        </w:rPr>
        <w:t>, on</w:t>
      </w:r>
      <w:r w:rsidR="005F3433" w:rsidRPr="008814D3">
        <w:rPr>
          <w:rFonts w:ascii="Calibri" w:hAnsi="Calibri" w:cs="Calibri"/>
          <w:szCs w:val="22"/>
        </w:rPr>
        <w:t xml:space="preserve"> average of 14</w:t>
      </w:r>
      <w:r w:rsidR="00870D50" w:rsidRPr="008814D3">
        <w:rPr>
          <w:rFonts w:ascii="Calibri" w:hAnsi="Calibri" w:cs="Calibri"/>
          <w:szCs w:val="22"/>
        </w:rPr>
        <w:t>,</w:t>
      </w:r>
      <w:r w:rsidR="005F3433" w:rsidRPr="008814D3">
        <w:rPr>
          <w:rFonts w:ascii="Calibri" w:hAnsi="Calibri" w:cs="Calibri"/>
          <w:szCs w:val="22"/>
        </w:rPr>
        <w:t xml:space="preserve"> researchers between 2001 and 2011</w:t>
      </w:r>
      <w:r w:rsidR="00BD6AFD">
        <w:rPr>
          <w:rFonts w:ascii="Calibri" w:hAnsi="Calibri" w:cs="Calibri"/>
          <w:szCs w:val="22"/>
        </w:rPr>
        <w:t>.</w:t>
      </w:r>
      <w:r w:rsidR="005D4D9F">
        <w:rPr>
          <w:rStyle w:val="FootnoteReference"/>
          <w:rFonts w:ascii="Calibri" w:hAnsi="Calibri" w:cs="Calibri"/>
          <w:szCs w:val="22"/>
        </w:rPr>
        <w:footnoteReference w:id="2"/>
      </w:r>
      <w:r w:rsidR="005F3433" w:rsidRPr="008814D3">
        <w:rPr>
          <w:rFonts w:ascii="Calibri" w:hAnsi="Calibri" w:cs="Calibri"/>
          <w:szCs w:val="22"/>
        </w:rPr>
        <w:t xml:space="preserve"> Our recruitment criteria included a requirement to demonstrate a commitment to social justice in education, which proved to be a powerful incentive.</w:t>
      </w:r>
      <w:r w:rsidR="00CA0AEB">
        <w:rPr>
          <w:rFonts w:ascii="Calibri" w:hAnsi="Calibri" w:cs="Calibri"/>
          <w:szCs w:val="22"/>
        </w:rPr>
        <w:t xml:space="preserve"> </w:t>
      </w:r>
      <w:r w:rsidR="005F3433" w:rsidRPr="008814D3">
        <w:rPr>
          <w:rFonts w:ascii="Calibri" w:hAnsi="Calibri" w:cs="Calibri"/>
          <w:szCs w:val="22"/>
        </w:rPr>
        <w:t>We employed a wide range of ethnicities and speakers of different languages, using their experience to work with a wider range of communities and languages in our research. We worked collaboratively and flexibly in teams: overlapping projects, and a talented and multi-skilled team allowed resources to be grouped effectively and efficiently over the life of a project.</w:t>
      </w:r>
      <w:r w:rsidR="00CA0AEB">
        <w:rPr>
          <w:rFonts w:ascii="Calibri" w:hAnsi="Calibri" w:cs="Calibri"/>
          <w:szCs w:val="22"/>
        </w:rPr>
        <w:t xml:space="preserve"> </w:t>
      </w:r>
      <w:r w:rsidR="009D197B">
        <w:rPr>
          <w:rFonts w:ascii="Calibri" w:hAnsi="Calibri" w:cs="Calibri"/>
          <w:szCs w:val="22"/>
        </w:rPr>
        <w:t>W</w:t>
      </w:r>
      <w:r w:rsidR="00B752EC">
        <w:rPr>
          <w:rFonts w:ascii="Calibri" w:hAnsi="Calibri" w:cs="Calibri"/>
          <w:szCs w:val="22"/>
        </w:rPr>
        <w:t>e</w:t>
      </w:r>
      <w:r w:rsidR="009D197B">
        <w:rPr>
          <w:rFonts w:ascii="Calibri" w:hAnsi="Calibri" w:cs="Calibri"/>
          <w:szCs w:val="22"/>
        </w:rPr>
        <w:t xml:space="preserve"> covered a wide range of inequalities, but notably did not research areas of </w:t>
      </w:r>
      <w:r w:rsidR="00152922">
        <w:rPr>
          <w:rFonts w:ascii="Calibri" w:hAnsi="Calibri" w:cs="Calibri"/>
          <w:szCs w:val="22"/>
        </w:rPr>
        <w:t>special educational need</w:t>
      </w:r>
      <w:r w:rsidR="006826E0">
        <w:rPr>
          <w:rFonts w:ascii="Calibri" w:hAnsi="Calibri" w:cs="Calibri"/>
          <w:szCs w:val="22"/>
        </w:rPr>
        <w:t xml:space="preserve"> or of people with disabilities</w:t>
      </w:r>
      <w:r w:rsidR="00B752EC">
        <w:rPr>
          <w:rFonts w:ascii="Calibri" w:hAnsi="Calibri" w:cs="Calibri"/>
          <w:szCs w:val="22"/>
        </w:rPr>
        <w:t>, a matter of some regret</w:t>
      </w:r>
      <w:r w:rsidR="000D7608">
        <w:rPr>
          <w:rFonts w:ascii="Calibri" w:hAnsi="Calibri" w:cs="Calibri"/>
          <w:szCs w:val="22"/>
        </w:rPr>
        <w:t xml:space="preserve">, but </w:t>
      </w:r>
      <w:r w:rsidR="00AE66EB">
        <w:rPr>
          <w:rFonts w:ascii="Calibri" w:hAnsi="Calibri" w:cs="Calibri"/>
          <w:szCs w:val="22"/>
        </w:rPr>
        <w:t xml:space="preserve">one that </w:t>
      </w:r>
      <w:r w:rsidR="000D7608">
        <w:rPr>
          <w:rFonts w:ascii="Calibri" w:hAnsi="Calibri" w:cs="Calibri"/>
          <w:szCs w:val="22"/>
        </w:rPr>
        <w:t>reflect</w:t>
      </w:r>
      <w:r w:rsidR="00AE66EB">
        <w:rPr>
          <w:rFonts w:ascii="Calibri" w:hAnsi="Calibri" w:cs="Calibri"/>
          <w:szCs w:val="22"/>
        </w:rPr>
        <w:t xml:space="preserve">ed </w:t>
      </w:r>
      <w:r w:rsidR="000D7608">
        <w:rPr>
          <w:rFonts w:ascii="Calibri" w:hAnsi="Calibri" w:cs="Calibri"/>
          <w:szCs w:val="22"/>
        </w:rPr>
        <w:t xml:space="preserve">our </w:t>
      </w:r>
      <w:r w:rsidR="000D7608">
        <w:rPr>
          <w:rFonts w:ascii="Calibri" w:hAnsi="Calibri" w:cs="Calibri"/>
          <w:szCs w:val="22"/>
        </w:rPr>
        <w:lastRenderedPageBreak/>
        <w:t>staffing strengths</w:t>
      </w:r>
      <w:r w:rsidR="006826E0">
        <w:rPr>
          <w:rFonts w:ascii="Calibri" w:hAnsi="Calibri" w:cs="Calibri"/>
          <w:szCs w:val="22"/>
        </w:rPr>
        <w:t xml:space="preserve">. </w:t>
      </w:r>
      <w:r w:rsidR="005F3433" w:rsidRPr="008814D3">
        <w:rPr>
          <w:rFonts w:ascii="Calibri" w:hAnsi="Calibri" w:cs="Calibri"/>
          <w:szCs w:val="22"/>
        </w:rPr>
        <w:t xml:space="preserve">Over the </w:t>
      </w:r>
      <w:r w:rsidR="00AB4965">
        <w:rPr>
          <w:rFonts w:ascii="Calibri" w:hAnsi="Calibri" w:cs="Calibri"/>
          <w:szCs w:val="22"/>
        </w:rPr>
        <w:t>16</w:t>
      </w:r>
      <w:r w:rsidR="005F3433" w:rsidRPr="008814D3">
        <w:rPr>
          <w:rFonts w:ascii="Calibri" w:hAnsi="Calibri" w:cs="Calibri"/>
          <w:szCs w:val="22"/>
        </w:rPr>
        <w:t xml:space="preserve"> years, we carried out over 120 research projects, for the UK and Scottish governments, local governments, the European Commission, the OECD, The Economic and Social Research Council, and a wide range of NGOs, research foundations and other bodies.</w:t>
      </w:r>
      <w:r w:rsidR="00CA0AEB">
        <w:rPr>
          <w:rFonts w:ascii="Calibri" w:hAnsi="Calibri" w:cs="Calibri"/>
          <w:szCs w:val="22"/>
        </w:rPr>
        <w:t xml:space="preserve"> </w:t>
      </w:r>
      <w:r w:rsidR="005F3433" w:rsidRPr="008814D3">
        <w:rPr>
          <w:rFonts w:ascii="Calibri" w:hAnsi="Calibri" w:cs="Calibri"/>
          <w:szCs w:val="22"/>
        </w:rPr>
        <w:t>Our approach was both to respond to tenders and calls for research projects, and to suggest and lobby for particular research we thought important.</w:t>
      </w:r>
      <w:r w:rsidR="00CA0AEB">
        <w:rPr>
          <w:rFonts w:ascii="Calibri" w:hAnsi="Calibri" w:cs="Calibri"/>
          <w:szCs w:val="22"/>
        </w:rPr>
        <w:t xml:space="preserve"> </w:t>
      </w:r>
      <w:r w:rsidR="005F3433" w:rsidRPr="008814D3">
        <w:rPr>
          <w:rFonts w:ascii="Calibri" w:hAnsi="Calibri" w:cs="Calibri"/>
          <w:szCs w:val="22"/>
        </w:rPr>
        <w:t>We often worked collaboratively, with other University researchers and with commercial research organisations.</w:t>
      </w:r>
      <w:r w:rsidR="00CA0AEB">
        <w:rPr>
          <w:rFonts w:ascii="Calibri" w:hAnsi="Calibri" w:cs="Calibri"/>
          <w:szCs w:val="22"/>
        </w:rPr>
        <w:t xml:space="preserve"> </w:t>
      </w:r>
    </w:p>
    <w:p w14:paraId="432F98B0" w14:textId="77777777" w:rsidR="005F3433" w:rsidRPr="008814D3" w:rsidRDefault="005F3433" w:rsidP="005F3433">
      <w:pPr>
        <w:rPr>
          <w:rFonts w:ascii="Calibri" w:hAnsi="Calibri" w:cs="Calibri"/>
          <w:szCs w:val="22"/>
        </w:rPr>
      </w:pPr>
    </w:p>
    <w:p w14:paraId="14017407" w14:textId="1BD79B32" w:rsidR="005F3433" w:rsidRPr="008814D3" w:rsidRDefault="005F3433" w:rsidP="005F3433">
      <w:pPr>
        <w:rPr>
          <w:rFonts w:ascii="Calibri" w:hAnsi="Calibri" w:cs="Calibri"/>
          <w:szCs w:val="22"/>
        </w:rPr>
      </w:pPr>
      <w:r w:rsidRPr="008814D3">
        <w:rPr>
          <w:rFonts w:ascii="Calibri" w:hAnsi="Calibri" w:cs="Calibri"/>
          <w:szCs w:val="22"/>
        </w:rPr>
        <w:t>Clearly, we had to compromise in order to work with many of these institutions.</w:t>
      </w:r>
      <w:r w:rsidR="00CA0AEB">
        <w:rPr>
          <w:rFonts w:ascii="Calibri" w:hAnsi="Calibri" w:cs="Calibri"/>
          <w:szCs w:val="22"/>
        </w:rPr>
        <w:t xml:space="preserve"> </w:t>
      </w:r>
      <w:r w:rsidRPr="008814D3">
        <w:rPr>
          <w:rFonts w:ascii="Calibri" w:hAnsi="Calibri" w:cs="Calibri"/>
          <w:szCs w:val="22"/>
        </w:rPr>
        <w:t>Our preference for using largely qualitative methods in order to elucidate the contextual elements was sometimes less in demand than a requirement to use quantitative methods to illustrate the scale of an issue. For example, we used ethnic categories when necessary, always pointing to their uncertain and transitory definition: in order to address the educational needs of a particular group, we had to use such categories, as a necessary policy requirement to locate and map the scale of disadvantage, and to suggest ways that support might be offered to a group.</w:t>
      </w:r>
      <w:r w:rsidR="00CA0AEB">
        <w:rPr>
          <w:rFonts w:ascii="Calibri" w:hAnsi="Calibri" w:cs="Calibri"/>
          <w:szCs w:val="22"/>
        </w:rPr>
        <w:t xml:space="preserve"> </w:t>
      </w:r>
      <w:r w:rsidRPr="008814D3">
        <w:rPr>
          <w:rFonts w:ascii="Calibri" w:hAnsi="Calibri" w:cs="Calibri"/>
          <w:szCs w:val="22"/>
        </w:rPr>
        <w:t>We applied the current British Educational Research Association</w:t>
      </w:r>
      <w:r w:rsidR="00AD6145">
        <w:rPr>
          <w:rFonts w:ascii="Calibri" w:hAnsi="Calibri" w:cs="Calibri"/>
          <w:szCs w:val="22"/>
        </w:rPr>
        <w:t>’</w:t>
      </w:r>
      <w:r w:rsidRPr="008814D3">
        <w:rPr>
          <w:rFonts w:ascii="Calibri" w:hAnsi="Calibri" w:cs="Calibri"/>
          <w:szCs w:val="22"/>
        </w:rPr>
        <w:t xml:space="preserve">s code of ethics (as well as the University’s). We were always able to have our findings published in full for the commissioning body, and to make them available publicly. </w:t>
      </w:r>
    </w:p>
    <w:p w14:paraId="16CCED16" w14:textId="07D7BDF1" w:rsidR="005F3433" w:rsidRDefault="005F3433" w:rsidP="005F3433">
      <w:pPr>
        <w:rPr>
          <w:rFonts w:ascii="Calibri" w:hAnsi="Calibri" w:cs="Calibri"/>
          <w:szCs w:val="22"/>
        </w:rPr>
      </w:pPr>
    </w:p>
    <w:p w14:paraId="7A9E778D" w14:textId="77777777" w:rsidR="008F6B15" w:rsidRPr="008814D3" w:rsidRDefault="008F6B15" w:rsidP="005F3433">
      <w:pPr>
        <w:rPr>
          <w:rFonts w:ascii="Calibri" w:hAnsi="Calibri" w:cs="Calibri"/>
          <w:szCs w:val="22"/>
        </w:rPr>
      </w:pPr>
    </w:p>
    <w:p w14:paraId="4EB035D7" w14:textId="77777777" w:rsidR="005F3433" w:rsidRPr="008814D3" w:rsidRDefault="005F3433" w:rsidP="00AE654F">
      <w:pPr>
        <w:pStyle w:val="Heading2"/>
      </w:pPr>
      <w:r w:rsidRPr="008814D3">
        <w:t>This volume: structure and format</w:t>
      </w:r>
    </w:p>
    <w:p w14:paraId="590E5292" w14:textId="77777777" w:rsidR="005F3433" w:rsidRPr="008814D3" w:rsidRDefault="005F3433" w:rsidP="005F3433">
      <w:pPr>
        <w:shd w:val="clear" w:color="auto" w:fill="FFFFFF"/>
        <w:rPr>
          <w:rFonts w:ascii="Calibri" w:hAnsi="Calibri" w:cs="Calibri"/>
          <w:color w:val="222222"/>
          <w:szCs w:val="22"/>
        </w:rPr>
      </w:pPr>
    </w:p>
    <w:p w14:paraId="1582803C" w14:textId="3A90ED0D" w:rsidR="005F3433" w:rsidRPr="008814D3" w:rsidRDefault="005F3433" w:rsidP="005F3433">
      <w:pPr>
        <w:rPr>
          <w:rFonts w:cstheme="minorHAnsi"/>
          <w:bCs/>
          <w:szCs w:val="22"/>
        </w:rPr>
      </w:pPr>
      <w:r w:rsidRPr="008814D3">
        <w:rPr>
          <w:rFonts w:cstheme="minorHAnsi"/>
          <w:bCs/>
          <w:szCs w:val="22"/>
        </w:rPr>
        <w:t>This book presents a series of chapters by different authors, all of whom have been associated with IPSE over the past two decades.</w:t>
      </w:r>
      <w:r w:rsidR="00CA0AEB">
        <w:rPr>
          <w:rFonts w:cstheme="minorHAnsi"/>
          <w:bCs/>
          <w:szCs w:val="22"/>
        </w:rPr>
        <w:t xml:space="preserve"> </w:t>
      </w:r>
      <w:r w:rsidRPr="008814D3">
        <w:rPr>
          <w:rFonts w:cstheme="minorHAnsi"/>
          <w:bCs/>
          <w:szCs w:val="22"/>
        </w:rPr>
        <w:t>Each describes particular aspects of one of their research endeavours, and reflects on how their processes attempted to support social justice, and what they think the term means.</w:t>
      </w:r>
      <w:r w:rsidR="00CA0AEB">
        <w:rPr>
          <w:rFonts w:cstheme="minorHAnsi"/>
          <w:bCs/>
          <w:szCs w:val="22"/>
        </w:rPr>
        <w:t xml:space="preserve"> </w:t>
      </w:r>
      <w:r w:rsidRPr="008814D3">
        <w:rPr>
          <w:rFonts w:cstheme="minorHAnsi"/>
          <w:bCs/>
          <w:szCs w:val="22"/>
        </w:rPr>
        <w:t>They also consider how their particular work, in its various ways, could be seen as being of benefit to the community: was it valuable or useful to civic society?</w:t>
      </w:r>
      <w:r w:rsidR="00CA0AEB">
        <w:rPr>
          <w:rFonts w:cstheme="minorHAnsi"/>
          <w:bCs/>
          <w:szCs w:val="22"/>
        </w:rPr>
        <w:t xml:space="preserve"> </w:t>
      </w:r>
      <w:r w:rsidRPr="008814D3">
        <w:rPr>
          <w:rFonts w:cstheme="minorHAnsi"/>
          <w:bCs/>
          <w:szCs w:val="22"/>
        </w:rPr>
        <w:t xml:space="preserve">How did they know this to be so? </w:t>
      </w:r>
    </w:p>
    <w:p w14:paraId="4A7E456E" w14:textId="77777777" w:rsidR="005F3433" w:rsidRPr="008814D3" w:rsidRDefault="005F3433" w:rsidP="005F3433">
      <w:pPr>
        <w:rPr>
          <w:rFonts w:cstheme="minorHAnsi"/>
          <w:bCs/>
          <w:szCs w:val="22"/>
        </w:rPr>
      </w:pPr>
    </w:p>
    <w:p w14:paraId="693A5950" w14:textId="02667BF5" w:rsidR="005F3433" w:rsidRPr="008814D3" w:rsidRDefault="005F3433" w:rsidP="005F3433">
      <w:pPr>
        <w:spacing w:after="120"/>
        <w:rPr>
          <w:szCs w:val="22"/>
        </w:rPr>
      </w:pPr>
      <w:r w:rsidRPr="008814D3">
        <w:rPr>
          <w:rFonts w:cstheme="minorHAnsi"/>
          <w:bCs/>
          <w:szCs w:val="22"/>
        </w:rPr>
        <w:t>The volume is presented a loose sequence, individual chapters being grouped together, so that they can, if the reader wishes, be taken in order; but equally, each can stand alone.</w:t>
      </w:r>
      <w:r w:rsidR="00CA0AEB">
        <w:rPr>
          <w:rFonts w:cstheme="minorHAnsi"/>
          <w:bCs/>
          <w:szCs w:val="22"/>
        </w:rPr>
        <w:t xml:space="preserve"> </w:t>
      </w:r>
      <w:r w:rsidRPr="008814D3">
        <w:rPr>
          <w:rFonts w:cstheme="minorHAnsi"/>
          <w:bCs/>
          <w:szCs w:val="22"/>
        </w:rPr>
        <w:t>There are three exceptions to this.</w:t>
      </w:r>
      <w:r w:rsidR="00CA0AEB">
        <w:rPr>
          <w:rFonts w:cstheme="minorHAnsi"/>
          <w:bCs/>
          <w:szCs w:val="22"/>
        </w:rPr>
        <w:t xml:space="preserve"> </w:t>
      </w:r>
      <w:r w:rsidRPr="008814D3">
        <w:rPr>
          <w:rFonts w:cstheme="minorHAnsi"/>
          <w:bCs/>
          <w:szCs w:val="22"/>
        </w:rPr>
        <w:t xml:space="preserve">Chapters 2 and 3 represent initial reviews, based around each author’s research works, that confront the two organising themes of the book in the context of the ontological challenge to question our own subjectivities and the ideological construction of the public good in teaching, learning and research. </w:t>
      </w:r>
    </w:p>
    <w:p w14:paraId="7E812F6B" w14:textId="3D0E882F" w:rsidR="005F3433" w:rsidRDefault="005F3433" w:rsidP="005F3433">
      <w:pPr>
        <w:rPr>
          <w:rFonts w:cstheme="minorHAnsi"/>
          <w:bCs/>
          <w:szCs w:val="22"/>
        </w:rPr>
      </w:pPr>
      <w:r w:rsidRPr="008814D3">
        <w:rPr>
          <w:rFonts w:cstheme="minorHAnsi"/>
          <w:bCs/>
          <w:szCs w:val="22"/>
        </w:rPr>
        <w:t xml:space="preserve">Ian </w:t>
      </w:r>
      <w:proofErr w:type="spellStart"/>
      <w:r w:rsidRPr="008814D3">
        <w:rPr>
          <w:rFonts w:cstheme="minorHAnsi"/>
          <w:bCs/>
          <w:szCs w:val="22"/>
        </w:rPr>
        <w:t>Menter</w:t>
      </w:r>
      <w:proofErr w:type="spellEnd"/>
      <w:r w:rsidRPr="008814D3">
        <w:rPr>
          <w:rFonts w:cstheme="minorHAnsi"/>
          <w:bCs/>
          <w:szCs w:val="22"/>
        </w:rPr>
        <w:t xml:space="preserve"> (Chapter</w:t>
      </w:r>
      <w:r w:rsidR="00984028">
        <w:rPr>
          <w:rFonts w:cstheme="minorHAnsi"/>
          <w:bCs/>
          <w:szCs w:val="22"/>
        </w:rPr>
        <w:t xml:space="preserve"> </w:t>
      </w:r>
      <w:r w:rsidRPr="008814D3">
        <w:rPr>
          <w:rFonts w:cstheme="minorHAnsi"/>
          <w:bCs/>
          <w:szCs w:val="22"/>
        </w:rPr>
        <w:t>2</w:t>
      </w:r>
      <w:r w:rsidR="008B2F69">
        <w:rPr>
          <w:rFonts w:cstheme="minorHAnsi"/>
          <w:bCs/>
          <w:szCs w:val="22"/>
        </w:rPr>
        <w:t>,</w:t>
      </w:r>
      <w:r w:rsidR="00CA0AEB">
        <w:rPr>
          <w:rFonts w:cstheme="minorHAnsi"/>
          <w:bCs/>
          <w:szCs w:val="22"/>
        </w:rPr>
        <w:t xml:space="preserve"> </w:t>
      </w:r>
      <w:r w:rsidRPr="008814D3">
        <w:rPr>
          <w:rFonts w:cstheme="minorHAnsi"/>
          <w:bCs/>
          <w:szCs w:val="22"/>
        </w:rPr>
        <w:t>2020) begins with an overview of various recent discourses about the nature and purposes of educational research, considering</w:t>
      </w:r>
      <w:r w:rsidR="00AD6145">
        <w:rPr>
          <w:rFonts w:cstheme="minorHAnsi"/>
          <w:bCs/>
          <w:szCs w:val="22"/>
        </w:rPr>
        <w:t>:</w:t>
      </w:r>
      <w:r w:rsidRPr="008814D3">
        <w:rPr>
          <w:rFonts w:cstheme="minorHAnsi"/>
          <w:bCs/>
          <w:szCs w:val="22"/>
        </w:rPr>
        <w:t xml:space="preserve"> </w:t>
      </w:r>
    </w:p>
    <w:p w14:paraId="65068915" w14:textId="77777777" w:rsidR="00EF1D52" w:rsidRPr="008814D3" w:rsidRDefault="00EF1D52" w:rsidP="005F3433">
      <w:pPr>
        <w:rPr>
          <w:rFonts w:cstheme="minorHAnsi"/>
          <w:bCs/>
          <w:szCs w:val="22"/>
        </w:rPr>
      </w:pPr>
    </w:p>
    <w:p w14:paraId="3D052883" w14:textId="77777777" w:rsidR="005F3433" w:rsidRPr="008814D3" w:rsidRDefault="005F3433" w:rsidP="006476AA">
      <w:pPr>
        <w:pStyle w:val="ListParagraph"/>
        <w:numPr>
          <w:ilvl w:val="0"/>
          <w:numId w:val="1"/>
        </w:numPr>
        <w:rPr>
          <w:rFonts w:cstheme="minorHAnsi"/>
          <w:bCs/>
          <w:szCs w:val="22"/>
        </w:rPr>
      </w:pPr>
      <w:r w:rsidRPr="008814D3">
        <w:rPr>
          <w:rFonts w:cstheme="minorHAnsi"/>
          <w:bCs/>
          <w:szCs w:val="22"/>
        </w:rPr>
        <w:t xml:space="preserve">its fundamental nature as a </w:t>
      </w:r>
      <w:r w:rsidRPr="008814D3">
        <w:rPr>
          <w:rFonts w:cstheme="minorHAnsi"/>
          <w:bCs/>
          <w:i/>
          <w:iCs/>
          <w:szCs w:val="22"/>
        </w:rPr>
        <w:t>social science</w:t>
      </w:r>
      <w:r w:rsidRPr="008814D3">
        <w:rPr>
          <w:rFonts w:cstheme="minorHAnsi"/>
          <w:bCs/>
          <w:szCs w:val="22"/>
        </w:rPr>
        <w:t xml:space="preserve"> enquiry, grounded in professional practices and the contingencies and contexts of social interaction, that make it largely non-replicable in the way that the physical sciences expect their findings to be capable of being repeated;</w:t>
      </w:r>
    </w:p>
    <w:p w14:paraId="09F0012F" w14:textId="319274A5" w:rsidR="005F3433" w:rsidRPr="008814D3" w:rsidRDefault="005F3433" w:rsidP="006476AA">
      <w:pPr>
        <w:pStyle w:val="ListParagraph"/>
        <w:numPr>
          <w:ilvl w:val="0"/>
          <w:numId w:val="1"/>
        </w:numPr>
        <w:rPr>
          <w:rFonts w:cstheme="minorHAnsi"/>
          <w:bCs/>
          <w:szCs w:val="22"/>
        </w:rPr>
      </w:pPr>
      <w:r w:rsidRPr="008814D3">
        <w:rPr>
          <w:rFonts w:cstheme="minorHAnsi"/>
          <w:bCs/>
          <w:szCs w:val="22"/>
        </w:rPr>
        <w:t>its role in disseminating the practices of such social science to the community</w:t>
      </w:r>
      <w:r w:rsidR="00CA0AEB">
        <w:rPr>
          <w:rFonts w:cstheme="minorHAnsi"/>
          <w:bCs/>
          <w:szCs w:val="22"/>
        </w:rPr>
        <w:t xml:space="preserve"> </w:t>
      </w:r>
      <w:r w:rsidRPr="008814D3">
        <w:rPr>
          <w:rFonts w:cstheme="minorHAnsi"/>
          <w:bCs/>
          <w:szCs w:val="22"/>
        </w:rPr>
        <w:t>of practice of educators, through professional development based on such approaches; and</w:t>
      </w:r>
    </w:p>
    <w:p w14:paraId="576A2883" w14:textId="42DA649C" w:rsidR="005F3433" w:rsidRPr="008814D3" w:rsidRDefault="005F3433" w:rsidP="006476AA">
      <w:pPr>
        <w:pStyle w:val="ListParagraph"/>
        <w:numPr>
          <w:ilvl w:val="0"/>
          <w:numId w:val="1"/>
        </w:numPr>
        <w:rPr>
          <w:rFonts w:cstheme="minorHAnsi"/>
          <w:bCs/>
          <w:szCs w:val="22"/>
        </w:rPr>
      </w:pPr>
      <w:r w:rsidRPr="008814D3">
        <w:rPr>
          <w:rFonts w:cstheme="minorHAnsi"/>
          <w:bCs/>
          <w:szCs w:val="22"/>
        </w:rPr>
        <w:t>the significant potential role of the educational research establishment in the UK in the debates over methodological approaches and desirable outcomes in terms of the public good: his work as President of first the Scottish Educational Research Association (2005–</w:t>
      </w:r>
      <w:r w:rsidR="00A126B8">
        <w:rPr>
          <w:rFonts w:cstheme="minorHAnsi"/>
          <w:bCs/>
          <w:szCs w:val="22"/>
        </w:rPr>
        <w:t>20</w:t>
      </w:r>
      <w:r w:rsidRPr="008814D3">
        <w:rPr>
          <w:rFonts w:cstheme="minorHAnsi"/>
          <w:bCs/>
          <w:szCs w:val="22"/>
        </w:rPr>
        <w:t>07), and then the British Educational Research Association (2013</w:t>
      </w:r>
      <w:r w:rsidR="00A126B8" w:rsidRPr="008814D3">
        <w:rPr>
          <w:rFonts w:ascii="Calibri" w:hAnsi="Calibri" w:cs="Calibri"/>
          <w:szCs w:val="22"/>
        </w:rPr>
        <w:t>–</w:t>
      </w:r>
      <w:r w:rsidR="00A126B8">
        <w:rPr>
          <w:rFonts w:ascii="Calibri" w:hAnsi="Calibri" w:cs="Calibri"/>
          <w:szCs w:val="22"/>
        </w:rPr>
        <w:t>20</w:t>
      </w:r>
      <w:r w:rsidRPr="008814D3">
        <w:rPr>
          <w:rFonts w:cstheme="minorHAnsi"/>
          <w:bCs/>
          <w:szCs w:val="22"/>
        </w:rPr>
        <w:t>15).</w:t>
      </w:r>
      <w:r w:rsidR="00CA0AEB">
        <w:rPr>
          <w:rFonts w:cstheme="minorHAnsi"/>
          <w:bCs/>
          <w:szCs w:val="22"/>
        </w:rPr>
        <w:t xml:space="preserve"> </w:t>
      </w:r>
    </w:p>
    <w:p w14:paraId="1EA10B86" w14:textId="77777777" w:rsidR="005F3433" w:rsidRPr="008814D3" w:rsidRDefault="005F3433" w:rsidP="005F3433">
      <w:pPr>
        <w:ind w:left="284"/>
        <w:rPr>
          <w:rFonts w:cstheme="minorHAnsi"/>
          <w:szCs w:val="22"/>
        </w:rPr>
      </w:pPr>
    </w:p>
    <w:p w14:paraId="2343D6AB" w14:textId="0984A7AA" w:rsidR="005F3433" w:rsidRPr="008814D3" w:rsidRDefault="005F3433" w:rsidP="005F3433">
      <w:pPr>
        <w:rPr>
          <w:rFonts w:cstheme="minorHAnsi"/>
          <w:szCs w:val="22"/>
        </w:rPr>
      </w:pPr>
      <w:r w:rsidRPr="008814D3">
        <w:rPr>
          <w:rFonts w:cstheme="minorHAnsi"/>
          <w:szCs w:val="22"/>
        </w:rPr>
        <w:t xml:space="preserve">His epistemological analysis of what should count as educational knowledge and as social enquiry, is developed in </w:t>
      </w:r>
      <w:proofErr w:type="spellStart"/>
      <w:r w:rsidRPr="008814D3">
        <w:rPr>
          <w:rFonts w:cstheme="minorHAnsi"/>
          <w:szCs w:val="22"/>
        </w:rPr>
        <w:t>Merryn</w:t>
      </w:r>
      <w:proofErr w:type="spellEnd"/>
      <w:r w:rsidRPr="008814D3">
        <w:rPr>
          <w:rFonts w:cstheme="minorHAnsi"/>
          <w:szCs w:val="22"/>
        </w:rPr>
        <w:t xml:space="preserve"> Hutching</w:t>
      </w:r>
      <w:r w:rsidR="00AD6145">
        <w:rPr>
          <w:rFonts w:cstheme="minorHAnsi"/>
          <w:szCs w:val="22"/>
        </w:rPr>
        <w:t>s</w:t>
      </w:r>
      <w:r w:rsidRPr="008814D3">
        <w:rPr>
          <w:rFonts w:cstheme="minorHAnsi"/>
          <w:szCs w:val="22"/>
        </w:rPr>
        <w:t>’ contribution (Chapter 3</w:t>
      </w:r>
      <w:r w:rsidR="008B2F69">
        <w:rPr>
          <w:rFonts w:cstheme="minorHAnsi"/>
          <w:szCs w:val="22"/>
        </w:rPr>
        <w:t>,</w:t>
      </w:r>
      <w:r w:rsidRPr="008814D3">
        <w:rPr>
          <w:rFonts w:cstheme="minorHAnsi"/>
          <w:szCs w:val="22"/>
        </w:rPr>
        <w:t xml:space="preserve"> 2020</w:t>
      </w:r>
      <w:r w:rsidR="002D310B">
        <w:rPr>
          <w:rFonts w:cstheme="minorHAnsi"/>
          <w:szCs w:val="22"/>
        </w:rPr>
        <w:t>a</w:t>
      </w:r>
      <w:r w:rsidRPr="008814D3">
        <w:rPr>
          <w:rFonts w:cstheme="minorHAnsi"/>
          <w:szCs w:val="22"/>
        </w:rPr>
        <w:t>). She discusses her research on the nature and consequence</w:t>
      </w:r>
      <w:r w:rsidR="00AD6145">
        <w:rPr>
          <w:rFonts w:cstheme="minorHAnsi"/>
          <w:szCs w:val="22"/>
        </w:rPr>
        <w:t>s</w:t>
      </w:r>
      <w:r w:rsidRPr="008814D3">
        <w:rPr>
          <w:rFonts w:cstheme="minorHAnsi"/>
          <w:szCs w:val="22"/>
        </w:rPr>
        <w:t xml:space="preserve"> of widespread national testing programmes, considering who requires these to take place, their justification for doing so, and the use (and misuse) to which the results are put. In so doing she opens up the debate on what might be considered to be the public good, and </w:t>
      </w:r>
      <w:r w:rsidRPr="008814D3">
        <w:rPr>
          <w:rFonts w:cstheme="minorHAnsi"/>
          <w:szCs w:val="22"/>
        </w:rPr>
        <w:lastRenderedPageBreak/>
        <w:t>who might determine this.</w:t>
      </w:r>
      <w:r w:rsidR="00CA0AEB">
        <w:rPr>
          <w:rFonts w:cstheme="minorHAnsi"/>
          <w:szCs w:val="22"/>
        </w:rPr>
        <w:t xml:space="preserve"> </w:t>
      </w:r>
      <w:r w:rsidRPr="008814D3">
        <w:rPr>
          <w:rFonts w:cstheme="minorHAnsi"/>
          <w:szCs w:val="22"/>
        </w:rPr>
        <w:t>She questions whether these processes of assessment and evaluation serve the public good, and</w:t>
      </w:r>
      <w:r w:rsidR="00CA0AEB">
        <w:rPr>
          <w:rFonts w:cstheme="minorHAnsi"/>
          <w:szCs w:val="22"/>
        </w:rPr>
        <w:t xml:space="preserve"> </w:t>
      </w:r>
      <w:r w:rsidRPr="008814D3">
        <w:rPr>
          <w:rFonts w:cstheme="minorHAnsi"/>
          <w:szCs w:val="22"/>
        </w:rPr>
        <w:t xml:space="preserve">interrogates the research on which such testing processes are based. Political and ethical issues are fundamental to this: who should control </w:t>
      </w:r>
      <w:r w:rsidR="00010AE9">
        <w:rPr>
          <w:rFonts w:cstheme="minorHAnsi"/>
          <w:szCs w:val="22"/>
        </w:rPr>
        <w:t>or</w:t>
      </w:r>
      <w:r w:rsidRPr="008814D3">
        <w:rPr>
          <w:rFonts w:cstheme="minorHAnsi"/>
          <w:szCs w:val="22"/>
        </w:rPr>
        <w:t xml:space="preserve"> direct such forays into educational practice, and with what justification</w:t>
      </w:r>
      <w:r w:rsidRPr="009522DF">
        <w:rPr>
          <w:rFonts w:cstheme="minorHAnsi"/>
          <w:szCs w:val="22"/>
        </w:rPr>
        <w:t>?</w:t>
      </w:r>
      <w:r w:rsidR="00CA0AEB" w:rsidRPr="009522DF">
        <w:rPr>
          <w:rFonts w:cstheme="minorHAnsi"/>
          <w:szCs w:val="22"/>
        </w:rPr>
        <w:t xml:space="preserve"> </w:t>
      </w:r>
      <w:r w:rsidRPr="009522DF">
        <w:rPr>
          <w:rFonts w:cstheme="minorHAnsi"/>
          <w:szCs w:val="22"/>
        </w:rPr>
        <w:t xml:space="preserve">Laswell’s (1936) definition of politics, </w:t>
      </w:r>
      <w:r w:rsidR="009B1B40" w:rsidRPr="00FA4EDB">
        <w:rPr>
          <w:rFonts w:cstheme="minorHAnsi"/>
          <w:szCs w:val="22"/>
        </w:rPr>
        <w:t>summar</w:t>
      </w:r>
      <w:r w:rsidR="00FA4EDB" w:rsidRPr="00FA4EDB">
        <w:rPr>
          <w:rFonts w:cstheme="minorHAnsi"/>
          <w:szCs w:val="22"/>
        </w:rPr>
        <w:t>ised</w:t>
      </w:r>
      <w:r w:rsidRPr="00FA4EDB">
        <w:rPr>
          <w:rFonts w:cstheme="minorHAnsi"/>
          <w:szCs w:val="22"/>
        </w:rPr>
        <w:t xml:space="preserve"> in his title </w:t>
      </w:r>
      <w:r w:rsidRPr="00FA4EDB">
        <w:rPr>
          <w:rFonts w:cstheme="minorHAnsi"/>
          <w:i/>
          <w:iCs/>
          <w:color w:val="222222"/>
          <w:szCs w:val="22"/>
          <w:shd w:val="clear" w:color="auto" w:fill="FFFFFF"/>
        </w:rPr>
        <w:t>Politics: Who Gets What, When, How</w:t>
      </w:r>
      <w:r w:rsidR="009522DF" w:rsidRPr="00FA4EDB">
        <w:rPr>
          <w:rFonts w:cstheme="minorHAnsi"/>
          <w:i/>
          <w:iCs/>
          <w:color w:val="222222"/>
          <w:szCs w:val="22"/>
          <w:shd w:val="clear" w:color="auto" w:fill="FFFFFF"/>
        </w:rPr>
        <w:t>,</w:t>
      </w:r>
      <w:r w:rsidRPr="00FA4EDB">
        <w:rPr>
          <w:rFonts w:cstheme="minorHAnsi"/>
          <w:color w:val="222222"/>
          <w:szCs w:val="22"/>
          <w:shd w:val="clear" w:color="auto" w:fill="FFFFFF"/>
        </w:rPr>
        <w:t xml:space="preserve"> </w:t>
      </w:r>
      <w:r w:rsidR="001A52C4" w:rsidRPr="00FA4EDB">
        <w:rPr>
          <w:rFonts w:cstheme="minorHAnsi"/>
          <w:color w:val="222222"/>
          <w:szCs w:val="22"/>
          <w:shd w:val="clear" w:color="auto" w:fill="FFFFFF"/>
        </w:rPr>
        <w:t xml:space="preserve">encapsulates </w:t>
      </w:r>
      <w:r w:rsidR="00324CAC" w:rsidRPr="00FA4EDB">
        <w:rPr>
          <w:rFonts w:cstheme="minorHAnsi"/>
          <w:color w:val="222222"/>
          <w:szCs w:val="22"/>
          <w:shd w:val="clear" w:color="auto" w:fill="FFFFFF"/>
        </w:rPr>
        <w:t>o</w:t>
      </w:r>
      <w:r w:rsidR="00324CAC" w:rsidRPr="009522DF">
        <w:rPr>
          <w:rFonts w:cstheme="minorHAnsi"/>
          <w:color w:val="222222"/>
          <w:szCs w:val="22"/>
          <w:shd w:val="clear" w:color="auto" w:fill="FFFFFF"/>
        </w:rPr>
        <w:t>ne</w:t>
      </w:r>
      <w:r w:rsidR="004D08A2" w:rsidRPr="009522DF">
        <w:rPr>
          <w:rFonts w:cstheme="minorHAnsi"/>
          <w:color w:val="222222"/>
          <w:szCs w:val="22"/>
          <w:shd w:val="clear" w:color="auto" w:fill="FFFFFF"/>
        </w:rPr>
        <w:t xml:space="preserve"> of the main messages </w:t>
      </w:r>
      <w:r w:rsidRPr="009522DF">
        <w:rPr>
          <w:rFonts w:cstheme="minorHAnsi"/>
          <w:szCs w:val="22"/>
        </w:rPr>
        <w:t xml:space="preserve">in </w:t>
      </w:r>
      <w:r w:rsidR="004D08A2" w:rsidRPr="009522DF">
        <w:rPr>
          <w:rFonts w:cstheme="minorHAnsi"/>
          <w:szCs w:val="22"/>
        </w:rPr>
        <w:t>her</w:t>
      </w:r>
      <w:r w:rsidRPr="009522DF">
        <w:rPr>
          <w:rFonts w:cstheme="minorHAnsi"/>
          <w:szCs w:val="22"/>
        </w:rPr>
        <w:t xml:space="preserve"> chapter. Her other argument is ethical: how do the outcomes of national assessments and</w:t>
      </w:r>
      <w:r w:rsidRPr="008814D3">
        <w:rPr>
          <w:rFonts w:cstheme="minorHAnsi"/>
          <w:szCs w:val="22"/>
        </w:rPr>
        <w:t xml:space="preserve"> gradings of individuals, and the production of league tables, impact on the well-being of learners, teachers and the institutions in which they both work? Does this serve the public good, or merely the good of politicians and a limited section of the public: a theme to which Hutchings return</w:t>
      </w:r>
      <w:r w:rsidR="00AD6145">
        <w:rPr>
          <w:rFonts w:cstheme="minorHAnsi"/>
          <w:szCs w:val="22"/>
        </w:rPr>
        <w:t>s</w:t>
      </w:r>
      <w:r w:rsidRPr="008814D3">
        <w:rPr>
          <w:rFonts w:cstheme="minorHAnsi"/>
          <w:szCs w:val="22"/>
        </w:rPr>
        <w:t xml:space="preserve"> in Chapter 7. </w:t>
      </w:r>
    </w:p>
    <w:p w14:paraId="7C8F206E" w14:textId="77777777" w:rsidR="005F3433" w:rsidRPr="008814D3" w:rsidRDefault="005F3433" w:rsidP="005F3433">
      <w:pPr>
        <w:rPr>
          <w:rFonts w:cstheme="minorHAnsi"/>
          <w:bCs/>
          <w:szCs w:val="22"/>
        </w:rPr>
      </w:pPr>
    </w:p>
    <w:p w14:paraId="19DC12A6" w14:textId="7523B578" w:rsidR="005F3433" w:rsidRPr="008814D3" w:rsidRDefault="005F3433" w:rsidP="005F3433">
      <w:pPr>
        <w:rPr>
          <w:rFonts w:cstheme="minorHAnsi"/>
          <w:bCs/>
          <w:szCs w:val="22"/>
        </w:rPr>
      </w:pPr>
      <w:r w:rsidRPr="008814D3">
        <w:rPr>
          <w:rFonts w:cstheme="minorHAnsi"/>
          <w:bCs/>
          <w:szCs w:val="22"/>
        </w:rPr>
        <w:t>The following chapters are broadly grouped around research that addresses particular kinds of educational inequalities.</w:t>
      </w:r>
      <w:r w:rsidR="00CA0AEB">
        <w:rPr>
          <w:rFonts w:cstheme="minorHAnsi"/>
          <w:bCs/>
          <w:szCs w:val="22"/>
        </w:rPr>
        <w:t xml:space="preserve"> </w:t>
      </w:r>
      <w:r w:rsidRPr="008814D3">
        <w:rPr>
          <w:rFonts w:cstheme="minorHAnsi"/>
          <w:bCs/>
          <w:szCs w:val="22"/>
        </w:rPr>
        <w:t>The first of these, concerning socioeconomic disadvantage and the particularly English construction of social class, are considered in Chapters 4 to 7.</w:t>
      </w:r>
      <w:r w:rsidR="00CA0AEB">
        <w:rPr>
          <w:rFonts w:cstheme="minorHAnsi"/>
          <w:bCs/>
          <w:szCs w:val="22"/>
        </w:rPr>
        <w:t xml:space="preserve"> </w:t>
      </w:r>
      <w:r w:rsidRPr="008814D3">
        <w:rPr>
          <w:rFonts w:cstheme="minorHAnsi"/>
          <w:bCs/>
          <w:szCs w:val="22"/>
        </w:rPr>
        <w:t>Gender is examined in Chapters 8 to 10. Ethnicity and identity are the focus of Chapters 11 and 12.</w:t>
      </w:r>
      <w:r w:rsidR="00CA0AEB">
        <w:rPr>
          <w:rFonts w:cstheme="minorHAnsi"/>
          <w:bCs/>
          <w:szCs w:val="22"/>
        </w:rPr>
        <w:t xml:space="preserve"> </w:t>
      </w:r>
      <w:r w:rsidRPr="008814D3">
        <w:rPr>
          <w:rFonts w:cstheme="minorHAnsi"/>
          <w:bCs/>
          <w:szCs w:val="22"/>
        </w:rPr>
        <w:t>All of these factors, and more, intersect and create additional and often hidden further inequities, and some of these are considered in Chapter 13.</w:t>
      </w:r>
    </w:p>
    <w:p w14:paraId="2AC4395B" w14:textId="77777777" w:rsidR="005F3433" w:rsidRPr="008814D3" w:rsidRDefault="005F3433" w:rsidP="005F3433">
      <w:pPr>
        <w:rPr>
          <w:rFonts w:cstheme="minorHAnsi"/>
          <w:bCs/>
          <w:szCs w:val="22"/>
        </w:rPr>
      </w:pPr>
    </w:p>
    <w:p w14:paraId="44D923BC" w14:textId="6EBAEC80" w:rsidR="005F3433" w:rsidRPr="008814D3" w:rsidRDefault="005F3433" w:rsidP="005F3433">
      <w:pPr>
        <w:rPr>
          <w:rFonts w:cstheme="minorHAnsi"/>
          <w:bCs/>
          <w:szCs w:val="22"/>
        </w:rPr>
      </w:pPr>
      <w:r w:rsidRPr="008814D3">
        <w:rPr>
          <w:rFonts w:cstheme="minorHAnsi"/>
          <w:bCs/>
          <w:szCs w:val="22"/>
        </w:rPr>
        <w:t>The chapters on r</w:t>
      </w:r>
      <w:r w:rsidRPr="008814D3">
        <w:rPr>
          <w:rFonts w:cstheme="minorHAnsi"/>
          <w:bCs/>
          <w:iCs/>
          <w:szCs w:val="22"/>
        </w:rPr>
        <w:t xml:space="preserve">esearching class and socioeconomic inequity in education begin with Andrew </w:t>
      </w:r>
      <w:r w:rsidR="00AD6145">
        <w:rPr>
          <w:rFonts w:cstheme="minorHAnsi"/>
          <w:bCs/>
          <w:iCs/>
          <w:szCs w:val="22"/>
        </w:rPr>
        <w:t>McCallum</w:t>
      </w:r>
      <w:r w:rsidR="00AD6145" w:rsidRPr="008814D3">
        <w:rPr>
          <w:rFonts w:cstheme="minorHAnsi"/>
          <w:bCs/>
          <w:iCs/>
          <w:szCs w:val="22"/>
        </w:rPr>
        <w:t xml:space="preserve">’s </w:t>
      </w:r>
      <w:r w:rsidRPr="008814D3">
        <w:rPr>
          <w:rFonts w:cstheme="minorHAnsi"/>
          <w:bCs/>
          <w:iCs/>
          <w:szCs w:val="22"/>
        </w:rPr>
        <w:t>examination of creativity and social justice in the English language curriculum</w:t>
      </w:r>
      <w:r w:rsidR="008B2F69">
        <w:rPr>
          <w:rFonts w:cstheme="minorHAnsi"/>
          <w:bCs/>
          <w:iCs/>
          <w:szCs w:val="22"/>
        </w:rPr>
        <w:t xml:space="preserve"> </w:t>
      </w:r>
      <w:r w:rsidR="008B2F69" w:rsidRPr="008814D3">
        <w:rPr>
          <w:rFonts w:cstheme="minorHAnsi"/>
          <w:bCs/>
          <w:iCs/>
          <w:szCs w:val="22"/>
        </w:rPr>
        <w:t>(Chapter 4</w:t>
      </w:r>
      <w:r w:rsidR="008B2F69">
        <w:rPr>
          <w:rFonts w:cstheme="minorHAnsi"/>
          <w:bCs/>
          <w:iCs/>
          <w:szCs w:val="22"/>
        </w:rPr>
        <w:t>,</w:t>
      </w:r>
      <w:r w:rsidR="008B2F69" w:rsidRPr="008814D3">
        <w:rPr>
          <w:rFonts w:cstheme="minorHAnsi"/>
          <w:bCs/>
          <w:iCs/>
          <w:szCs w:val="22"/>
        </w:rPr>
        <w:t xml:space="preserve"> 2020)</w:t>
      </w:r>
      <w:r w:rsidRPr="008814D3">
        <w:rPr>
          <w:rFonts w:cstheme="minorHAnsi"/>
          <w:bCs/>
          <w:iCs/>
          <w:szCs w:val="22"/>
        </w:rPr>
        <w:t xml:space="preserve">: this chapter is also </w:t>
      </w:r>
      <w:r w:rsidR="00803E7D">
        <w:rPr>
          <w:rFonts w:cstheme="minorHAnsi"/>
          <w:bCs/>
          <w:iCs/>
          <w:szCs w:val="22"/>
        </w:rPr>
        <w:t xml:space="preserve">an example of </w:t>
      </w:r>
      <w:proofErr w:type="spellStart"/>
      <w:r w:rsidRPr="008814D3">
        <w:rPr>
          <w:rFonts w:cstheme="minorHAnsi"/>
          <w:bCs/>
          <w:szCs w:val="22"/>
        </w:rPr>
        <w:t>Menter’s</w:t>
      </w:r>
      <w:proofErr w:type="spellEnd"/>
      <w:r w:rsidRPr="008814D3">
        <w:rPr>
          <w:rFonts w:cstheme="minorHAnsi"/>
          <w:bCs/>
          <w:szCs w:val="22"/>
        </w:rPr>
        <w:t xml:space="preserve"> po</w:t>
      </w:r>
      <w:r w:rsidR="00803E7D">
        <w:rPr>
          <w:rFonts w:cstheme="minorHAnsi"/>
          <w:bCs/>
          <w:szCs w:val="22"/>
        </w:rPr>
        <w:t xml:space="preserve">int about </w:t>
      </w:r>
      <w:r w:rsidRPr="008814D3">
        <w:rPr>
          <w:rFonts w:cstheme="minorHAnsi"/>
          <w:bCs/>
          <w:szCs w:val="22"/>
        </w:rPr>
        <w:t xml:space="preserve">professional development and educational research, in that </w:t>
      </w:r>
      <w:r w:rsidR="00AD6145">
        <w:rPr>
          <w:rFonts w:cstheme="minorHAnsi"/>
          <w:bCs/>
          <w:szCs w:val="22"/>
        </w:rPr>
        <w:t>McCallum</w:t>
      </w:r>
      <w:r w:rsidR="00AD6145" w:rsidRPr="008814D3">
        <w:rPr>
          <w:rFonts w:cstheme="minorHAnsi"/>
          <w:bCs/>
          <w:szCs w:val="22"/>
        </w:rPr>
        <w:t xml:space="preserve"> </w:t>
      </w:r>
      <w:r w:rsidRPr="008814D3">
        <w:rPr>
          <w:rFonts w:cstheme="minorHAnsi"/>
          <w:bCs/>
          <w:szCs w:val="22"/>
        </w:rPr>
        <w:t xml:space="preserve">carried out his research as part of a professional Doctorate programme in IPSE. Nathan </w:t>
      </w:r>
      <w:proofErr w:type="spellStart"/>
      <w:r w:rsidRPr="008814D3">
        <w:rPr>
          <w:rFonts w:cstheme="minorHAnsi"/>
          <w:bCs/>
          <w:szCs w:val="22"/>
        </w:rPr>
        <w:t>Fretwell</w:t>
      </w:r>
      <w:proofErr w:type="spellEnd"/>
      <w:r w:rsidRPr="008814D3">
        <w:rPr>
          <w:rFonts w:cstheme="minorHAnsi"/>
          <w:bCs/>
          <w:szCs w:val="22"/>
        </w:rPr>
        <w:t xml:space="preserve"> (Chapter 5</w:t>
      </w:r>
      <w:r w:rsidR="008B2F69">
        <w:rPr>
          <w:rFonts w:cstheme="minorHAnsi"/>
          <w:bCs/>
          <w:szCs w:val="22"/>
        </w:rPr>
        <w:t>,</w:t>
      </w:r>
      <w:r w:rsidRPr="008814D3">
        <w:rPr>
          <w:rFonts w:cstheme="minorHAnsi"/>
          <w:bCs/>
          <w:szCs w:val="22"/>
        </w:rPr>
        <w:t xml:space="preserve"> 2020) examines disenfranchised </w:t>
      </w:r>
      <w:r w:rsidR="00AD6145" w:rsidRPr="008814D3">
        <w:rPr>
          <w:rFonts w:cstheme="minorHAnsi"/>
          <w:bCs/>
          <w:szCs w:val="22"/>
        </w:rPr>
        <w:t>working</w:t>
      </w:r>
      <w:r w:rsidR="00AD6145">
        <w:rPr>
          <w:rFonts w:cstheme="minorHAnsi"/>
          <w:bCs/>
          <w:szCs w:val="22"/>
        </w:rPr>
        <w:t>-</w:t>
      </w:r>
      <w:r w:rsidRPr="008814D3">
        <w:rPr>
          <w:rFonts w:cstheme="minorHAnsi"/>
          <w:bCs/>
          <w:szCs w:val="22"/>
        </w:rPr>
        <w:t>class pupils and a community intervention programme, that raises important issues around community needs and those of researchers. Sarah Minty (Chapter 6</w:t>
      </w:r>
      <w:r w:rsidR="008B2F69">
        <w:rPr>
          <w:rFonts w:cstheme="minorHAnsi"/>
          <w:bCs/>
          <w:szCs w:val="22"/>
        </w:rPr>
        <w:t>,</w:t>
      </w:r>
      <w:r w:rsidRPr="008814D3">
        <w:rPr>
          <w:rFonts w:cstheme="minorHAnsi"/>
          <w:bCs/>
          <w:szCs w:val="22"/>
        </w:rPr>
        <w:t xml:space="preserve"> 2020) describes research in Scottish higher education, and the differential impact of fees and maintenance costs on students from different socioeconomic backgrounds. Socioeconomic inequality is not merely a question of poorer people getting less, and the final contribution in this section, by </w:t>
      </w:r>
      <w:proofErr w:type="spellStart"/>
      <w:r w:rsidRPr="008814D3">
        <w:rPr>
          <w:rFonts w:cstheme="minorHAnsi"/>
          <w:bCs/>
          <w:szCs w:val="22"/>
        </w:rPr>
        <w:t>Merryn</w:t>
      </w:r>
      <w:proofErr w:type="spellEnd"/>
      <w:r w:rsidRPr="008814D3">
        <w:rPr>
          <w:rFonts w:cstheme="minorHAnsi"/>
          <w:bCs/>
          <w:szCs w:val="22"/>
        </w:rPr>
        <w:t xml:space="preserve"> Hutchings (Chapter 7</w:t>
      </w:r>
      <w:r w:rsidR="008B2F69">
        <w:rPr>
          <w:rFonts w:cstheme="minorHAnsi"/>
          <w:bCs/>
          <w:szCs w:val="22"/>
        </w:rPr>
        <w:t>,</w:t>
      </w:r>
      <w:r w:rsidRPr="008814D3">
        <w:rPr>
          <w:rFonts w:cstheme="minorHAnsi"/>
          <w:bCs/>
          <w:szCs w:val="22"/>
        </w:rPr>
        <w:t xml:space="preserve"> 2020</w:t>
      </w:r>
      <w:r w:rsidR="002D310B">
        <w:rPr>
          <w:rFonts w:cstheme="minorHAnsi"/>
          <w:bCs/>
          <w:szCs w:val="22"/>
        </w:rPr>
        <w:t>b</w:t>
      </w:r>
      <w:r w:rsidRPr="008814D3">
        <w:rPr>
          <w:rFonts w:cstheme="minorHAnsi"/>
          <w:bCs/>
          <w:szCs w:val="22"/>
        </w:rPr>
        <w:t>) examines how the strategies employed by some more affluent parents to</w:t>
      </w:r>
      <w:r w:rsidR="000D16B3">
        <w:rPr>
          <w:rFonts w:cstheme="minorHAnsi"/>
          <w:bCs/>
          <w:szCs w:val="22"/>
        </w:rPr>
        <w:t xml:space="preserve"> in effect</w:t>
      </w:r>
      <w:r w:rsidRPr="008814D3">
        <w:rPr>
          <w:rFonts w:cstheme="minorHAnsi"/>
          <w:bCs/>
          <w:szCs w:val="22"/>
        </w:rPr>
        <w:t xml:space="preserve"> appropriate greater educational benefits for their children can lead to greater inequities: a vivid and worrying confirmation of Young’s fears about the effects of meritocracy discussed earlier in this chapter.</w:t>
      </w:r>
    </w:p>
    <w:p w14:paraId="593CCEAB" w14:textId="77777777" w:rsidR="005F3433" w:rsidRPr="008814D3" w:rsidRDefault="005F3433" w:rsidP="005F3433">
      <w:pPr>
        <w:rPr>
          <w:rFonts w:cstheme="minorHAnsi"/>
          <w:bCs/>
          <w:szCs w:val="22"/>
        </w:rPr>
      </w:pPr>
    </w:p>
    <w:p w14:paraId="0CD15B21" w14:textId="7D45CB33" w:rsidR="005F3433" w:rsidRPr="008814D3" w:rsidRDefault="005F3433" w:rsidP="005F3433">
      <w:pPr>
        <w:spacing w:after="120"/>
        <w:rPr>
          <w:rFonts w:cstheme="minorHAnsi"/>
          <w:bCs/>
          <w:szCs w:val="22"/>
        </w:rPr>
      </w:pPr>
      <w:r w:rsidRPr="008814D3">
        <w:rPr>
          <w:rFonts w:cstheme="minorHAnsi"/>
          <w:bCs/>
          <w:iCs/>
          <w:szCs w:val="22"/>
        </w:rPr>
        <w:t>Gender inequities are examined in the contributions that follow.</w:t>
      </w:r>
      <w:r w:rsidR="00CA0AEB">
        <w:rPr>
          <w:rFonts w:cstheme="minorHAnsi"/>
          <w:bCs/>
          <w:iCs/>
          <w:szCs w:val="22"/>
        </w:rPr>
        <w:t xml:space="preserve"> </w:t>
      </w:r>
      <w:r w:rsidRPr="008814D3">
        <w:rPr>
          <w:rFonts w:cstheme="minorHAnsi"/>
          <w:bCs/>
          <w:iCs/>
          <w:szCs w:val="22"/>
        </w:rPr>
        <w:t>Jayne Osgood (Chapter 8</w:t>
      </w:r>
      <w:r w:rsidR="008B2F69">
        <w:rPr>
          <w:rFonts w:cstheme="minorHAnsi"/>
          <w:bCs/>
          <w:iCs/>
          <w:szCs w:val="22"/>
        </w:rPr>
        <w:t>,</w:t>
      </w:r>
      <w:r w:rsidRPr="008814D3">
        <w:rPr>
          <w:rFonts w:cstheme="minorHAnsi"/>
          <w:bCs/>
          <w:iCs/>
          <w:szCs w:val="22"/>
        </w:rPr>
        <w:t xml:space="preserve"> 2020) questions the policy r</w:t>
      </w:r>
      <w:r w:rsidRPr="008814D3">
        <w:rPr>
          <w:rFonts w:ascii="Calibri" w:hAnsi="Calibri" w:cs="Calibri"/>
          <w:color w:val="000000"/>
          <w:szCs w:val="22"/>
        </w:rPr>
        <w:t xml:space="preserve">eforms of the early years workforce </w:t>
      </w:r>
      <w:r w:rsidR="00A126B8" w:rsidRPr="008814D3">
        <w:rPr>
          <w:rFonts w:ascii="Calibri" w:hAnsi="Calibri" w:cs="Calibri"/>
          <w:szCs w:val="22"/>
        </w:rPr>
        <w:t>–</w:t>
      </w:r>
      <w:r w:rsidRPr="008814D3">
        <w:rPr>
          <w:rFonts w:ascii="Calibri" w:hAnsi="Calibri" w:cs="Calibri"/>
          <w:color w:val="000000"/>
          <w:szCs w:val="22"/>
        </w:rPr>
        <w:t xml:space="preserve"> principally female and overwhelmingly working-class; deconstructing the apparently benign and well-intentioned underpinning concepts of professionalism as deeply problematic.</w:t>
      </w:r>
      <w:r w:rsidR="00CA0AEB">
        <w:rPr>
          <w:rFonts w:ascii="Calibri" w:hAnsi="Calibri" w:cs="Calibri"/>
          <w:color w:val="000000"/>
          <w:szCs w:val="22"/>
        </w:rPr>
        <w:t xml:space="preserve"> </w:t>
      </w:r>
      <w:r w:rsidRPr="008814D3">
        <w:rPr>
          <w:rFonts w:cstheme="minorHAnsi"/>
          <w:bCs/>
          <w:szCs w:val="22"/>
        </w:rPr>
        <w:t>Researching gender inequities in education Marie-Pierre Moreau (Chapter 9</w:t>
      </w:r>
      <w:r w:rsidR="008B2F69">
        <w:rPr>
          <w:rFonts w:cstheme="minorHAnsi"/>
          <w:bCs/>
          <w:szCs w:val="22"/>
        </w:rPr>
        <w:t>,</w:t>
      </w:r>
      <w:r w:rsidRPr="008814D3">
        <w:rPr>
          <w:rFonts w:cstheme="minorHAnsi"/>
          <w:bCs/>
          <w:szCs w:val="22"/>
        </w:rPr>
        <w:t xml:space="preserve"> 2020) then examines policy attempts to make the school teaching workforce more masculine in composition, and the policy implications for gender in this. Barbara Read and Carole </w:t>
      </w:r>
      <w:proofErr w:type="spellStart"/>
      <w:r w:rsidRPr="008814D3">
        <w:rPr>
          <w:rFonts w:cstheme="minorHAnsi"/>
          <w:bCs/>
          <w:szCs w:val="22"/>
        </w:rPr>
        <w:t>Leathwood</w:t>
      </w:r>
      <w:proofErr w:type="spellEnd"/>
      <w:r w:rsidRPr="008814D3">
        <w:rPr>
          <w:rFonts w:cstheme="minorHAnsi"/>
          <w:bCs/>
          <w:szCs w:val="22"/>
        </w:rPr>
        <w:t xml:space="preserve"> (Chapter 10</w:t>
      </w:r>
      <w:r w:rsidR="008B2F69">
        <w:rPr>
          <w:rFonts w:cstheme="minorHAnsi"/>
          <w:bCs/>
          <w:szCs w:val="22"/>
        </w:rPr>
        <w:t>,</w:t>
      </w:r>
      <w:r w:rsidRPr="008814D3">
        <w:rPr>
          <w:rFonts w:cstheme="minorHAnsi"/>
          <w:bCs/>
          <w:szCs w:val="22"/>
        </w:rPr>
        <w:t xml:space="preserve"> 2020) conclude this section by moving on to examine some responses to both the expansion in the proportion of women in the University workforce and in the undergraduate body. </w:t>
      </w:r>
    </w:p>
    <w:p w14:paraId="56A1AEC5" w14:textId="68F4E437" w:rsidR="005F3433" w:rsidRPr="008814D3" w:rsidRDefault="005F3433" w:rsidP="005F3433">
      <w:pPr>
        <w:spacing w:after="120"/>
        <w:rPr>
          <w:rFonts w:cstheme="minorHAnsi"/>
          <w:bCs/>
          <w:iCs/>
          <w:szCs w:val="22"/>
        </w:rPr>
      </w:pPr>
      <w:r w:rsidRPr="008814D3">
        <w:rPr>
          <w:rFonts w:cstheme="minorHAnsi"/>
          <w:bCs/>
          <w:iCs/>
          <w:szCs w:val="22"/>
        </w:rPr>
        <w:t xml:space="preserve">The third area of social inequity that we focus on is around ethnicity and identity issues. </w:t>
      </w:r>
      <w:proofErr w:type="spellStart"/>
      <w:r w:rsidRPr="008814D3">
        <w:rPr>
          <w:rFonts w:cstheme="minorHAnsi"/>
          <w:bCs/>
          <w:iCs/>
          <w:szCs w:val="22"/>
        </w:rPr>
        <w:t>Uvanney</w:t>
      </w:r>
      <w:proofErr w:type="spellEnd"/>
      <w:r w:rsidRPr="008814D3">
        <w:rPr>
          <w:rFonts w:cstheme="minorHAnsi"/>
          <w:bCs/>
          <w:iCs/>
          <w:szCs w:val="22"/>
        </w:rPr>
        <w:t xml:space="preserve"> Maylor (Chapter 11</w:t>
      </w:r>
      <w:r w:rsidR="008B2F69">
        <w:rPr>
          <w:rFonts w:cstheme="minorHAnsi"/>
          <w:bCs/>
          <w:iCs/>
          <w:szCs w:val="22"/>
        </w:rPr>
        <w:t>,</w:t>
      </w:r>
      <w:r w:rsidRPr="008814D3">
        <w:rPr>
          <w:rFonts w:cstheme="minorHAnsi"/>
          <w:bCs/>
          <w:iCs/>
          <w:szCs w:val="22"/>
        </w:rPr>
        <w:t xml:space="preserve"> 2020) looks at the English curriculum reforms of 2007 under New Labour to address ethnic identities, and the subsequent reversals by the Coalition and Conservative governments that followed.</w:t>
      </w:r>
      <w:r w:rsidR="00CA0AEB">
        <w:rPr>
          <w:rFonts w:cstheme="minorHAnsi"/>
          <w:bCs/>
          <w:iCs/>
          <w:szCs w:val="22"/>
        </w:rPr>
        <w:t xml:space="preserve"> </w:t>
      </w:r>
      <w:r w:rsidRPr="008814D3">
        <w:rPr>
          <w:rFonts w:cstheme="minorHAnsi"/>
          <w:bCs/>
          <w:iCs/>
          <w:szCs w:val="22"/>
        </w:rPr>
        <w:t>Alistair Ross (Chapter 12</w:t>
      </w:r>
      <w:r w:rsidR="008B2F69">
        <w:rPr>
          <w:rFonts w:cstheme="minorHAnsi"/>
          <w:bCs/>
          <w:iCs/>
          <w:szCs w:val="22"/>
        </w:rPr>
        <w:t>,</w:t>
      </w:r>
      <w:r w:rsidRPr="008814D3">
        <w:rPr>
          <w:rFonts w:cstheme="minorHAnsi"/>
          <w:bCs/>
          <w:iCs/>
          <w:szCs w:val="22"/>
        </w:rPr>
        <w:t xml:space="preserve"> 2020</w:t>
      </w:r>
      <w:r w:rsidR="00F40E24">
        <w:rPr>
          <w:rFonts w:cstheme="minorHAnsi"/>
          <w:bCs/>
          <w:iCs/>
          <w:szCs w:val="22"/>
        </w:rPr>
        <w:t>a</w:t>
      </w:r>
      <w:r w:rsidRPr="008814D3">
        <w:rPr>
          <w:rFonts w:cstheme="minorHAnsi"/>
          <w:bCs/>
          <w:iCs/>
          <w:szCs w:val="22"/>
        </w:rPr>
        <w:t>) carries this enquiry into continental Europe, examining how young Europeans define their political beliefs, and thus their construction of the public good.</w:t>
      </w:r>
    </w:p>
    <w:p w14:paraId="13BA94BC" w14:textId="65F150E8" w:rsidR="005F3433" w:rsidRPr="008814D3" w:rsidRDefault="005F3433" w:rsidP="005F3433">
      <w:pPr>
        <w:spacing w:after="120"/>
        <w:rPr>
          <w:rFonts w:cstheme="minorHAnsi"/>
          <w:bCs/>
          <w:iCs/>
          <w:szCs w:val="22"/>
        </w:rPr>
      </w:pPr>
      <w:r w:rsidRPr="008814D3">
        <w:rPr>
          <w:rFonts w:cstheme="minorHAnsi"/>
          <w:bCs/>
          <w:iCs/>
          <w:szCs w:val="22"/>
        </w:rPr>
        <w:t>All three of these areas of inequity intersect, and in combination both heighten and hide further inequities. Chapter 13</w:t>
      </w:r>
      <w:r w:rsidR="008B2F69">
        <w:rPr>
          <w:rFonts w:cstheme="minorHAnsi"/>
          <w:bCs/>
          <w:iCs/>
          <w:szCs w:val="22"/>
        </w:rPr>
        <w:t>,</w:t>
      </w:r>
      <w:r w:rsidRPr="008814D3">
        <w:rPr>
          <w:rFonts w:cstheme="minorHAnsi"/>
          <w:bCs/>
          <w:iCs/>
          <w:szCs w:val="22"/>
        </w:rPr>
        <w:t xml:space="preserve"> </w:t>
      </w:r>
      <w:proofErr w:type="spellStart"/>
      <w:r w:rsidRPr="008814D3">
        <w:rPr>
          <w:rFonts w:cstheme="minorHAnsi"/>
          <w:bCs/>
          <w:iCs/>
          <w:szCs w:val="22"/>
        </w:rPr>
        <w:t>Hartsmar</w:t>
      </w:r>
      <w:proofErr w:type="spellEnd"/>
      <w:r w:rsidRPr="008814D3">
        <w:rPr>
          <w:rFonts w:cstheme="minorHAnsi"/>
          <w:bCs/>
          <w:iCs/>
          <w:szCs w:val="22"/>
        </w:rPr>
        <w:t xml:space="preserve"> </w:t>
      </w:r>
      <w:r w:rsidRPr="008814D3">
        <w:rPr>
          <w:rFonts w:cstheme="minorHAnsi"/>
          <w:bCs/>
          <w:i/>
          <w:szCs w:val="22"/>
        </w:rPr>
        <w:t>et al</w:t>
      </w:r>
      <w:r w:rsidRPr="008814D3">
        <w:rPr>
          <w:rFonts w:cstheme="minorHAnsi"/>
          <w:bCs/>
          <w:iCs/>
          <w:szCs w:val="22"/>
        </w:rPr>
        <w:t>., 2020) reviews a 2009 study conducted across fourteen European states of educational policies that were designed to counter inequalities, highlighting the effects of intersectionality across these three areas and more.</w:t>
      </w:r>
      <w:r w:rsidR="00CA0AEB">
        <w:rPr>
          <w:rFonts w:cstheme="minorHAnsi"/>
          <w:bCs/>
          <w:iCs/>
          <w:szCs w:val="22"/>
        </w:rPr>
        <w:t xml:space="preserve"> </w:t>
      </w:r>
    </w:p>
    <w:p w14:paraId="77E8A99D" w14:textId="223F4EB8" w:rsidR="005F3433" w:rsidRPr="008814D3" w:rsidRDefault="005F3433" w:rsidP="005F3433">
      <w:pPr>
        <w:rPr>
          <w:rFonts w:cstheme="minorHAnsi"/>
          <w:bCs/>
          <w:szCs w:val="22"/>
        </w:rPr>
      </w:pPr>
      <w:r w:rsidRPr="008814D3">
        <w:rPr>
          <w:rFonts w:cstheme="minorHAnsi"/>
          <w:bCs/>
          <w:szCs w:val="22"/>
        </w:rPr>
        <w:lastRenderedPageBreak/>
        <w:t xml:space="preserve">The concluding </w:t>
      </w:r>
      <w:r w:rsidR="00984028">
        <w:rPr>
          <w:rFonts w:cstheme="minorHAnsi"/>
          <w:bCs/>
          <w:szCs w:val="22"/>
        </w:rPr>
        <w:t>c</w:t>
      </w:r>
      <w:r w:rsidRPr="008814D3">
        <w:rPr>
          <w:rFonts w:cstheme="minorHAnsi"/>
          <w:bCs/>
          <w:szCs w:val="22"/>
        </w:rPr>
        <w:t>hapter (Ross, Chapter 14</w:t>
      </w:r>
      <w:r w:rsidR="008B2F69">
        <w:rPr>
          <w:rFonts w:cstheme="minorHAnsi"/>
          <w:bCs/>
          <w:szCs w:val="22"/>
        </w:rPr>
        <w:t>,</w:t>
      </w:r>
      <w:r w:rsidRPr="008814D3">
        <w:rPr>
          <w:rFonts w:cstheme="minorHAnsi"/>
          <w:bCs/>
          <w:szCs w:val="22"/>
        </w:rPr>
        <w:t xml:space="preserve"> 2020</w:t>
      </w:r>
      <w:r w:rsidR="00F40E24">
        <w:rPr>
          <w:rFonts w:cstheme="minorHAnsi"/>
          <w:bCs/>
          <w:szCs w:val="22"/>
        </w:rPr>
        <w:t>b</w:t>
      </w:r>
      <w:r w:rsidRPr="008814D3">
        <w:rPr>
          <w:rFonts w:cstheme="minorHAnsi"/>
          <w:bCs/>
          <w:szCs w:val="22"/>
        </w:rPr>
        <w:t xml:space="preserve">) falls outside this thematic arrangement, and is presented as a </w:t>
      </w:r>
      <w:r w:rsidR="00525301">
        <w:rPr>
          <w:rFonts w:cstheme="minorHAnsi"/>
          <w:bCs/>
          <w:szCs w:val="22"/>
        </w:rPr>
        <w:t>c</w:t>
      </w:r>
      <w:r w:rsidRPr="008814D3">
        <w:rPr>
          <w:rFonts w:cstheme="minorHAnsi"/>
          <w:bCs/>
          <w:szCs w:val="22"/>
        </w:rPr>
        <w:t>oncluding review of the ways in which the chapters as a whole contribute to the debate on what is meant by the public good, and how this should be determined.</w:t>
      </w:r>
      <w:r w:rsidR="00CA0AEB">
        <w:rPr>
          <w:rFonts w:cstheme="minorHAnsi"/>
          <w:bCs/>
          <w:szCs w:val="22"/>
        </w:rPr>
        <w:t xml:space="preserve"> </w:t>
      </w:r>
      <w:r w:rsidRPr="008814D3">
        <w:rPr>
          <w:rFonts w:cstheme="minorHAnsi"/>
          <w:bCs/>
          <w:szCs w:val="22"/>
        </w:rPr>
        <w:t xml:space="preserve">One might apply the Latin legal term, </w:t>
      </w:r>
      <w:r w:rsidRPr="008814D3">
        <w:rPr>
          <w:rFonts w:cstheme="minorHAnsi"/>
          <w:bCs/>
          <w:i/>
          <w:iCs/>
          <w:szCs w:val="22"/>
        </w:rPr>
        <w:t>cui bono</w:t>
      </w:r>
      <w:r w:rsidRPr="008814D3">
        <w:rPr>
          <w:rFonts w:cstheme="minorHAnsi"/>
          <w:bCs/>
          <w:szCs w:val="22"/>
        </w:rPr>
        <w:t>, to such a discussion: who will benefit from a particular course of action? Who should benefit?</w:t>
      </w:r>
      <w:r w:rsidR="00CA0AEB">
        <w:rPr>
          <w:rFonts w:cstheme="minorHAnsi"/>
          <w:bCs/>
          <w:szCs w:val="22"/>
        </w:rPr>
        <w:t xml:space="preserve"> </w:t>
      </w:r>
      <w:r w:rsidRPr="008814D3">
        <w:rPr>
          <w:rFonts w:cstheme="minorHAnsi"/>
          <w:bCs/>
          <w:szCs w:val="22"/>
        </w:rPr>
        <w:t>And what are the consequences of such benefit to those who might not so benefit?</w:t>
      </w:r>
      <w:r w:rsidR="00CA0AEB">
        <w:rPr>
          <w:rFonts w:cstheme="minorHAnsi"/>
          <w:bCs/>
          <w:szCs w:val="22"/>
        </w:rPr>
        <w:t xml:space="preserve"> </w:t>
      </w:r>
      <w:r w:rsidRPr="008814D3">
        <w:rPr>
          <w:rFonts w:cstheme="minorHAnsi"/>
          <w:bCs/>
          <w:szCs w:val="22"/>
        </w:rPr>
        <w:t xml:space="preserve">That </w:t>
      </w:r>
      <w:r w:rsidRPr="008814D3">
        <w:rPr>
          <w:rFonts w:cstheme="minorHAnsi"/>
          <w:bCs/>
          <w:i/>
          <w:iCs/>
          <w:szCs w:val="22"/>
        </w:rPr>
        <w:t>cui bono</w:t>
      </w:r>
      <w:r w:rsidRPr="008814D3">
        <w:rPr>
          <w:rFonts w:cstheme="minorHAnsi"/>
          <w:bCs/>
          <w:szCs w:val="22"/>
        </w:rPr>
        <w:t xml:space="preserve"> is used, in legal circles, in assessing the potential motivations in a crime is perhaps also of relevance here: educational policies have consequences, and many of the</w:t>
      </w:r>
      <w:r w:rsidR="00CA0AEB">
        <w:rPr>
          <w:rFonts w:cstheme="minorHAnsi"/>
          <w:bCs/>
          <w:szCs w:val="22"/>
        </w:rPr>
        <w:t xml:space="preserve"> </w:t>
      </w:r>
      <w:r w:rsidRPr="008814D3">
        <w:rPr>
          <w:rFonts w:cstheme="minorHAnsi"/>
          <w:bCs/>
          <w:szCs w:val="22"/>
        </w:rPr>
        <w:t>outcomes of</w:t>
      </w:r>
      <w:r w:rsidR="00CA0AEB">
        <w:rPr>
          <w:rFonts w:cstheme="minorHAnsi"/>
          <w:bCs/>
          <w:szCs w:val="22"/>
        </w:rPr>
        <w:t xml:space="preserve"> </w:t>
      </w:r>
      <w:r w:rsidRPr="008814D3">
        <w:rPr>
          <w:rFonts w:cstheme="minorHAnsi"/>
          <w:bCs/>
          <w:szCs w:val="22"/>
        </w:rPr>
        <w:t xml:space="preserve">may be to the detriment of particular groups, and may heighten social inequities. </w:t>
      </w:r>
    </w:p>
    <w:p w14:paraId="33BFEA84" w14:textId="77777777" w:rsidR="005F3433" w:rsidRPr="008814D3" w:rsidRDefault="005F3433" w:rsidP="005F3433">
      <w:pPr>
        <w:rPr>
          <w:rFonts w:cstheme="minorHAnsi"/>
          <w:bCs/>
          <w:szCs w:val="22"/>
        </w:rPr>
      </w:pPr>
    </w:p>
    <w:p w14:paraId="649494CE" w14:textId="1D03FEF1" w:rsidR="005F3433" w:rsidRDefault="005F3433" w:rsidP="005F3433">
      <w:pPr>
        <w:rPr>
          <w:rFonts w:cstheme="minorHAnsi"/>
          <w:szCs w:val="22"/>
        </w:rPr>
      </w:pPr>
      <w:r w:rsidRPr="008814D3">
        <w:rPr>
          <w:rFonts w:cstheme="minorHAnsi"/>
          <w:bCs/>
          <w:szCs w:val="22"/>
        </w:rPr>
        <w:t xml:space="preserve">This is the crux of the book that follows: social equity must be the ultimate public good in educational policy, and this is not necessarily achieved either through the processes of majoritarianism – the Jeremy Bentham’s </w:t>
      </w:r>
      <w:r w:rsidR="00F034F6" w:rsidRPr="008814D3">
        <w:rPr>
          <w:rFonts w:cstheme="minorHAnsi"/>
          <w:szCs w:val="22"/>
        </w:rPr>
        <w:t>‘</w:t>
      </w:r>
      <w:r w:rsidRPr="008814D3">
        <w:rPr>
          <w:rFonts w:cstheme="minorHAnsi"/>
          <w:szCs w:val="22"/>
        </w:rPr>
        <w:t>fundamental axiom</w:t>
      </w:r>
      <w:r w:rsidR="00F034F6" w:rsidRPr="008814D3">
        <w:rPr>
          <w:rFonts w:cstheme="minorHAnsi"/>
          <w:szCs w:val="22"/>
        </w:rPr>
        <w:t>’</w:t>
      </w:r>
      <w:r w:rsidRPr="008814D3">
        <w:rPr>
          <w:rFonts w:cstheme="minorHAnsi"/>
          <w:szCs w:val="22"/>
        </w:rPr>
        <w:t xml:space="preserve"> – that </w:t>
      </w:r>
      <w:r w:rsidR="00F034F6" w:rsidRPr="008814D3">
        <w:rPr>
          <w:rFonts w:cstheme="minorHAnsi"/>
          <w:szCs w:val="22"/>
        </w:rPr>
        <w:t>‘</w:t>
      </w:r>
      <w:r w:rsidRPr="008814D3">
        <w:rPr>
          <w:rFonts w:cstheme="minorHAnsi"/>
          <w:szCs w:val="22"/>
        </w:rPr>
        <w:t>the greatest happiness of the greatest number …</w:t>
      </w:r>
      <w:r w:rsidR="00F96081" w:rsidRPr="008814D3">
        <w:rPr>
          <w:rFonts w:cstheme="minorHAnsi"/>
          <w:szCs w:val="22"/>
        </w:rPr>
        <w:t xml:space="preserve"> </w:t>
      </w:r>
      <w:r w:rsidRPr="008814D3">
        <w:rPr>
          <w:rFonts w:cstheme="minorHAnsi"/>
          <w:szCs w:val="22"/>
        </w:rPr>
        <w:t>is the measure of right and wrong’ (</w:t>
      </w:r>
      <w:r w:rsidR="004A6CA8" w:rsidRPr="008814D3">
        <w:rPr>
          <w:rFonts w:cstheme="minorHAnsi"/>
          <w:szCs w:val="22"/>
        </w:rPr>
        <w:t>19</w:t>
      </w:r>
      <w:r w:rsidR="00F6560B">
        <w:rPr>
          <w:rFonts w:cstheme="minorHAnsi"/>
          <w:szCs w:val="22"/>
        </w:rPr>
        <w:t>91</w:t>
      </w:r>
      <w:r w:rsidR="004A6CA8" w:rsidRPr="008814D3">
        <w:rPr>
          <w:rFonts w:cstheme="minorHAnsi"/>
          <w:szCs w:val="22"/>
        </w:rPr>
        <w:t xml:space="preserve"> [</w:t>
      </w:r>
      <w:r w:rsidRPr="008814D3">
        <w:rPr>
          <w:rFonts w:cstheme="minorHAnsi"/>
          <w:szCs w:val="22"/>
        </w:rPr>
        <w:t>1776</w:t>
      </w:r>
      <w:r w:rsidR="005F0813" w:rsidRPr="008814D3">
        <w:rPr>
          <w:rFonts w:cstheme="minorHAnsi"/>
          <w:szCs w:val="22"/>
        </w:rPr>
        <w:t xml:space="preserve">], </w:t>
      </w:r>
      <w:r w:rsidRPr="008814D3">
        <w:rPr>
          <w:rFonts w:cstheme="minorHAnsi"/>
          <w:szCs w:val="22"/>
        </w:rPr>
        <w:t>p</w:t>
      </w:r>
      <w:r w:rsidR="00F96081" w:rsidRPr="008814D3">
        <w:rPr>
          <w:rFonts w:cstheme="minorHAnsi"/>
          <w:szCs w:val="22"/>
        </w:rPr>
        <w:t>.</w:t>
      </w:r>
      <w:r w:rsidRPr="008814D3">
        <w:rPr>
          <w:rFonts w:cstheme="minorHAnsi"/>
          <w:szCs w:val="22"/>
        </w:rPr>
        <w:t xml:space="preserve"> 393), nor through the problematic policies of ‘equality of opportunity’. Social justice must be for all, not the greatest number, and must be judged by the outcomes of policies, not simply by their intentions.</w:t>
      </w:r>
    </w:p>
    <w:p w14:paraId="331D8E49" w14:textId="77777777" w:rsidR="005F3433" w:rsidRPr="00165DE6" w:rsidRDefault="005F3433" w:rsidP="005F3433">
      <w:pPr>
        <w:rPr>
          <w:rFonts w:cstheme="minorHAnsi"/>
          <w:szCs w:val="22"/>
        </w:rPr>
      </w:pPr>
    </w:p>
    <w:p w14:paraId="64115AF6" w14:textId="77777777" w:rsidR="005F3433" w:rsidRDefault="005F3433" w:rsidP="005F3433">
      <w:pPr>
        <w:shd w:val="clear" w:color="auto" w:fill="FFFFFF"/>
        <w:rPr>
          <w:rFonts w:ascii="Calibri" w:hAnsi="Calibri" w:cs="Calibri"/>
          <w:iCs/>
          <w:sz w:val="20"/>
          <w:szCs w:val="20"/>
        </w:rPr>
      </w:pPr>
    </w:p>
    <w:p w14:paraId="08DB80D0" w14:textId="77777777" w:rsidR="005F3433" w:rsidRDefault="005F3433" w:rsidP="005F3433">
      <w:pPr>
        <w:rPr>
          <w:rFonts w:ascii="Calibri" w:hAnsi="Calibri" w:cs="Calibri"/>
          <w:b/>
          <w:iCs/>
          <w:sz w:val="20"/>
          <w:szCs w:val="20"/>
        </w:rPr>
      </w:pPr>
      <w:r>
        <w:rPr>
          <w:rFonts w:ascii="Calibri" w:hAnsi="Calibri" w:cs="Calibri"/>
          <w:b/>
          <w:iCs/>
          <w:sz w:val="20"/>
          <w:szCs w:val="20"/>
        </w:rPr>
        <w:br w:type="page"/>
      </w:r>
    </w:p>
    <w:p w14:paraId="67E95F30" w14:textId="77777777" w:rsidR="005F3433" w:rsidRPr="007C1316" w:rsidRDefault="005F3433" w:rsidP="00AE654F">
      <w:pPr>
        <w:pStyle w:val="Heading2"/>
        <w:rPr>
          <w:szCs w:val="22"/>
        </w:rPr>
      </w:pPr>
      <w:r w:rsidRPr="007C1316">
        <w:lastRenderedPageBreak/>
        <w:t>References</w:t>
      </w:r>
    </w:p>
    <w:p w14:paraId="7EF5940B" w14:textId="77777777" w:rsidR="005F3433" w:rsidRPr="006D682A" w:rsidRDefault="005F3433" w:rsidP="005F3433">
      <w:pPr>
        <w:shd w:val="clear" w:color="auto" w:fill="FFFFFF"/>
        <w:spacing w:after="120"/>
        <w:ind w:left="737" w:hanging="737"/>
        <w:rPr>
          <w:rStyle w:val="reference-text"/>
          <w:rFonts w:ascii="Calibri" w:hAnsi="Calibri" w:cs="Calibri"/>
          <w:color w:val="222222"/>
          <w:szCs w:val="22"/>
          <w:shd w:val="clear" w:color="auto" w:fill="FFFFFF"/>
        </w:rPr>
      </w:pPr>
    </w:p>
    <w:p w14:paraId="69700AE6" w14:textId="77777777" w:rsidR="00C9778C" w:rsidRPr="00A13207" w:rsidRDefault="00C9778C" w:rsidP="00C9778C">
      <w:pPr>
        <w:spacing w:after="120"/>
        <w:ind w:left="567" w:hanging="567"/>
        <w:rPr>
          <w:rFonts w:cstheme="minorHAnsi"/>
          <w:szCs w:val="22"/>
        </w:rPr>
      </w:pPr>
      <w:r w:rsidRPr="00A13207">
        <w:rPr>
          <w:rFonts w:cstheme="minorHAnsi"/>
          <w:szCs w:val="22"/>
        </w:rPr>
        <w:t xml:space="preserve">Alexander, Robin. (2014). Evidence, policy and the reform of primary education: A cautionary tale. </w:t>
      </w:r>
      <w:r w:rsidRPr="00A13207">
        <w:rPr>
          <w:rFonts w:cstheme="minorHAnsi"/>
          <w:i/>
          <w:szCs w:val="22"/>
        </w:rPr>
        <w:t>Forum,</w:t>
      </w:r>
      <w:r w:rsidRPr="00A13207">
        <w:rPr>
          <w:rFonts w:cstheme="minorHAnsi"/>
          <w:szCs w:val="22"/>
        </w:rPr>
        <w:t xml:space="preserve"> </w:t>
      </w:r>
      <w:r w:rsidRPr="00A13207">
        <w:rPr>
          <w:rFonts w:cstheme="minorHAnsi"/>
          <w:i/>
          <w:iCs/>
          <w:szCs w:val="22"/>
        </w:rPr>
        <w:t>56</w:t>
      </w:r>
      <w:r w:rsidRPr="00A13207">
        <w:rPr>
          <w:rFonts w:cstheme="minorHAnsi"/>
          <w:szCs w:val="22"/>
        </w:rPr>
        <w:t>(3), 252–375.</w:t>
      </w:r>
    </w:p>
    <w:p w14:paraId="0A5F1737" w14:textId="77777777" w:rsidR="00C9778C" w:rsidRPr="00E0359C" w:rsidRDefault="00C9778C" w:rsidP="00C9778C">
      <w:pPr>
        <w:spacing w:after="120"/>
        <w:ind w:left="567" w:hanging="567"/>
        <w:rPr>
          <w:rFonts w:cstheme="minorHAnsi"/>
          <w:szCs w:val="22"/>
          <w:shd w:val="clear" w:color="auto" w:fill="FFFFFF"/>
        </w:rPr>
      </w:pPr>
      <w:r w:rsidRPr="00E0359C">
        <w:rPr>
          <w:rFonts w:cstheme="minorHAnsi"/>
          <w:szCs w:val="22"/>
        </w:rPr>
        <w:t xml:space="preserve">Anderson, Benedict. (1991, revised edition). </w:t>
      </w:r>
      <w:r w:rsidRPr="00E0359C">
        <w:rPr>
          <w:rFonts w:cstheme="minorHAnsi"/>
          <w:i/>
          <w:szCs w:val="22"/>
        </w:rPr>
        <w:t>Imagined communities: Reflections on the origin and spread of nationalism</w:t>
      </w:r>
      <w:r w:rsidRPr="00E0359C">
        <w:rPr>
          <w:rFonts w:cstheme="minorHAnsi"/>
          <w:szCs w:val="22"/>
        </w:rPr>
        <w:t>. London: Verso.</w:t>
      </w:r>
    </w:p>
    <w:p w14:paraId="23E21F90" w14:textId="77777777" w:rsidR="00F00B1C" w:rsidRPr="00E0359C" w:rsidRDefault="00F00B1C" w:rsidP="00F00B1C">
      <w:pPr>
        <w:spacing w:after="120"/>
        <w:ind w:left="567" w:hanging="567"/>
        <w:rPr>
          <w:rFonts w:cstheme="minorHAnsi"/>
          <w:szCs w:val="22"/>
        </w:rPr>
      </w:pPr>
      <w:r w:rsidRPr="00E0359C">
        <w:rPr>
          <w:rFonts w:cstheme="minorHAnsi"/>
          <w:szCs w:val="22"/>
        </w:rPr>
        <w:t>Appadurai, Arjun. (1996). Number in the colonial imagination. In Carol Breckenridge and Peter van der Veer (Eds.),</w:t>
      </w:r>
      <w:r w:rsidRPr="00E0359C">
        <w:rPr>
          <w:rFonts w:cstheme="minorHAnsi"/>
          <w:i/>
          <w:szCs w:val="22"/>
        </w:rPr>
        <w:t xml:space="preserve"> Orientalism and the postcolonial predicament: Perspectives on south Asia,</w:t>
      </w:r>
      <w:r w:rsidRPr="00E0359C">
        <w:rPr>
          <w:rFonts w:cstheme="minorHAnsi"/>
          <w:szCs w:val="22"/>
        </w:rPr>
        <w:t xml:space="preserve"> pp. 314</w:t>
      </w:r>
      <w:r w:rsidRPr="00E0359C">
        <w:rPr>
          <w:rFonts w:ascii="Calibri" w:hAnsi="Calibri" w:cs="Calibri"/>
          <w:szCs w:val="22"/>
        </w:rPr>
        <w:t>–</w:t>
      </w:r>
      <w:r w:rsidRPr="00E0359C">
        <w:rPr>
          <w:rFonts w:cstheme="minorHAnsi"/>
          <w:szCs w:val="22"/>
        </w:rPr>
        <w:t>339. Philadelphia PA: University of Pennsylvania Press.</w:t>
      </w:r>
    </w:p>
    <w:p w14:paraId="0CE7EFEA" w14:textId="77777777" w:rsidR="00C9778C" w:rsidRPr="00E0359C" w:rsidRDefault="00C9778C" w:rsidP="00C9778C">
      <w:pPr>
        <w:spacing w:after="120"/>
        <w:ind w:left="567" w:hanging="567"/>
        <w:rPr>
          <w:rFonts w:cstheme="minorHAnsi"/>
          <w:szCs w:val="22"/>
        </w:rPr>
      </w:pPr>
      <w:r w:rsidRPr="00E0359C">
        <w:rPr>
          <w:rStyle w:val="meta-author"/>
          <w:rFonts w:cstheme="minorHAnsi"/>
          <w:szCs w:val="22"/>
        </w:rPr>
        <w:t xml:space="preserve">Archer, Louise, </w:t>
      </w:r>
      <w:proofErr w:type="spellStart"/>
      <w:r w:rsidRPr="00E0359C">
        <w:rPr>
          <w:rStyle w:val="meta-author"/>
          <w:rFonts w:cstheme="minorHAnsi"/>
          <w:szCs w:val="22"/>
        </w:rPr>
        <w:t>Merryn</w:t>
      </w:r>
      <w:proofErr w:type="spellEnd"/>
      <w:r w:rsidRPr="00E0359C">
        <w:rPr>
          <w:rStyle w:val="meta-author"/>
          <w:rFonts w:cstheme="minorHAnsi"/>
          <w:szCs w:val="22"/>
        </w:rPr>
        <w:t xml:space="preserve"> Hutchings and Alistair Ross. (2003). </w:t>
      </w:r>
      <w:r w:rsidRPr="00E0359C">
        <w:rPr>
          <w:rFonts w:cstheme="minorHAnsi"/>
          <w:i/>
          <w:szCs w:val="22"/>
        </w:rPr>
        <w:t xml:space="preserve">Higher education and social class: Issues of exclusion and inclusion. </w:t>
      </w:r>
      <w:r w:rsidRPr="00E0359C">
        <w:rPr>
          <w:rStyle w:val="meta-publisher"/>
          <w:rFonts w:cstheme="minorHAnsi"/>
          <w:szCs w:val="22"/>
        </w:rPr>
        <w:t>London: Routledge/Falmer.</w:t>
      </w:r>
    </w:p>
    <w:p w14:paraId="38EBA592" w14:textId="77777777" w:rsidR="00C9778C" w:rsidRPr="00E0359C" w:rsidRDefault="00C9778C" w:rsidP="00C9778C">
      <w:pPr>
        <w:spacing w:after="120"/>
        <w:ind w:left="567" w:hanging="567"/>
        <w:rPr>
          <w:rFonts w:cstheme="minorHAnsi"/>
          <w:szCs w:val="22"/>
        </w:rPr>
      </w:pPr>
      <w:r w:rsidRPr="00E0359C">
        <w:rPr>
          <w:rFonts w:cstheme="minorHAnsi"/>
          <w:szCs w:val="22"/>
        </w:rPr>
        <w:t xml:space="preserve">Arnett, Jeffrey. (2008). The neglected 95%: Why American psychology needs to become less American. </w:t>
      </w:r>
      <w:r w:rsidRPr="00E0359C">
        <w:rPr>
          <w:rFonts w:cstheme="minorHAnsi"/>
          <w:i/>
          <w:szCs w:val="22"/>
        </w:rPr>
        <w:t>American Psychologist 63</w:t>
      </w:r>
      <w:r w:rsidRPr="00E0359C">
        <w:rPr>
          <w:rFonts w:cstheme="minorHAnsi"/>
          <w:szCs w:val="22"/>
        </w:rPr>
        <w:t>(7), 602</w:t>
      </w:r>
      <w:r w:rsidRPr="00E0359C">
        <w:t>–</w:t>
      </w:r>
      <w:r w:rsidRPr="00E0359C">
        <w:rPr>
          <w:rFonts w:cstheme="minorHAnsi"/>
          <w:szCs w:val="22"/>
        </w:rPr>
        <w:t>614.</w:t>
      </w:r>
    </w:p>
    <w:p w14:paraId="433BA968" w14:textId="3339406C" w:rsidR="00C9778C" w:rsidRPr="00E0359C" w:rsidRDefault="00C9778C" w:rsidP="00C9778C">
      <w:pPr>
        <w:pStyle w:val="NormalWeb"/>
        <w:spacing w:before="0" w:beforeAutospacing="0" w:after="120" w:afterAutospacing="0"/>
        <w:ind w:left="567" w:hanging="567"/>
        <w:textAlignment w:val="baseline"/>
        <w:rPr>
          <w:rStyle w:val="Strong"/>
          <w:rFonts w:asciiTheme="minorHAnsi" w:hAnsiTheme="minorHAnsi" w:cstheme="minorHAnsi"/>
          <w:b w:val="0"/>
          <w:bCs w:val="0"/>
          <w:i/>
          <w:iCs/>
          <w:szCs w:val="22"/>
        </w:rPr>
      </w:pPr>
      <w:r w:rsidRPr="00E0359C">
        <w:rPr>
          <w:rFonts w:asciiTheme="minorHAnsi" w:hAnsiTheme="minorHAnsi" w:cstheme="minorHAnsi"/>
          <w:szCs w:val="22"/>
        </w:rPr>
        <w:t xml:space="preserve">Arnold, Matthew. (1878). Equality. </w:t>
      </w:r>
      <w:r w:rsidRPr="00E0359C">
        <w:rPr>
          <w:rFonts w:asciiTheme="minorHAnsi" w:hAnsiTheme="minorHAnsi" w:cstheme="minorHAnsi"/>
          <w:i/>
          <w:szCs w:val="22"/>
        </w:rPr>
        <w:t>Fortnightly Review, 23</w:t>
      </w:r>
      <w:r w:rsidRPr="00E0359C">
        <w:rPr>
          <w:rFonts w:asciiTheme="minorHAnsi" w:hAnsiTheme="minorHAnsi" w:cstheme="minorHAnsi"/>
          <w:szCs w:val="22"/>
        </w:rPr>
        <w:t>(135), 313-3</w:t>
      </w:r>
      <w:r w:rsidR="00F00B1C" w:rsidRPr="00E0359C">
        <w:rPr>
          <w:rFonts w:asciiTheme="minorHAnsi" w:hAnsiTheme="minorHAnsi" w:cstheme="minorHAnsi"/>
          <w:szCs w:val="22"/>
        </w:rPr>
        <w:t>3</w:t>
      </w:r>
      <w:r w:rsidRPr="00E0359C">
        <w:rPr>
          <w:rFonts w:asciiTheme="minorHAnsi" w:hAnsiTheme="minorHAnsi" w:cstheme="minorHAnsi"/>
          <w:szCs w:val="22"/>
        </w:rPr>
        <w:t xml:space="preserve">4. (1 March 1878; published </w:t>
      </w:r>
      <w:r w:rsidRPr="00E0359C">
        <w:rPr>
          <w:rFonts w:asciiTheme="minorHAnsi" w:hAnsiTheme="minorHAnsi" w:cstheme="minorHAnsi"/>
          <w:szCs w:val="22"/>
          <w:shd w:val="clear" w:color="auto" w:fill="FFFEFB"/>
        </w:rPr>
        <w:t xml:space="preserve">London: Chapman and Hall.) Retrieved from </w:t>
      </w:r>
      <w:hyperlink r:id="rId8" w:history="1">
        <w:r w:rsidR="00F00B1C" w:rsidRPr="00E0359C">
          <w:rPr>
            <w:rStyle w:val="Hyperlink"/>
            <w:rFonts w:asciiTheme="minorHAnsi" w:hAnsiTheme="minorHAnsi" w:cstheme="minorHAnsi"/>
          </w:rPr>
          <w:t>https://babel.hathitrust.org/cgi/pt?id=inu.30000093208720&amp;view=1up&amp;seq=340</w:t>
        </w:r>
      </w:hyperlink>
    </w:p>
    <w:p w14:paraId="62DECCAD" w14:textId="77777777" w:rsidR="00C9778C" w:rsidRPr="00E0359C" w:rsidRDefault="00C9778C" w:rsidP="00C9778C">
      <w:pPr>
        <w:spacing w:after="120"/>
        <w:ind w:left="567" w:hanging="567"/>
        <w:rPr>
          <w:b/>
        </w:rPr>
      </w:pPr>
      <w:r w:rsidRPr="00E0359C">
        <w:t xml:space="preserve">Baker, Moya. (2016). </w:t>
      </w:r>
      <w:r w:rsidRPr="00E0359C">
        <w:rPr>
          <w:spacing w:val="-8"/>
        </w:rPr>
        <w:t xml:space="preserve">1,500 scientists lift the lid on reproducibility: </w:t>
      </w:r>
      <w:r w:rsidRPr="00E0359C">
        <w:t>Survey sheds light on the ‘crisis’ rocking research.</w:t>
      </w:r>
      <w:r w:rsidRPr="00E0359C">
        <w:rPr>
          <w:i/>
        </w:rPr>
        <w:t xml:space="preserve"> Nature,</w:t>
      </w:r>
      <w:r w:rsidRPr="00E0359C">
        <w:t xml:space="preserve"> </w:t>
      </w:r>
      <w:r w:rsidRPr="00E0359C">
        <w:rPr>
          <w:i/>
          <w:iCs/>
        </w:rPr>
        <w:t>533</w:t>
      </w:r>
      <w:r w:rsidRPr="00E0359C">
        <w:t xml:space="preserve">(7604), 452–454. </w:t>
      </w:r>
    </w:p>
    <w:p w14:paraId="185EF725" w14:textId="7D2F055E" w:rsidR="00C9778C" w:rsidRPr="00E0359C" w:rsidRDefault="00C9778C" w:rsidP="00C9778C">
      <w:pPr>
        <w:spacing w:after="120"/>
        <w:ind w:left="567" w:hanging="567"/>
        <w:rPr>
          <w:rStyle w:val="Strong"/>
          <w:rFonts w:cstheme="minorHAnsi"/>
          <w:b w:val="0"/>
          <w:bCs w:val="0"/>
          <w:szCs w:val="22"/>
        </w:rPr>
      </w:pPr>
      <w:r w:rsidRPr="00E0359C">
        <w:t>Balestra, Carlotta and Richard Tonkin. (2018</w:t>
      </w:r>
      <w:r w:rsidRPr="00E0359C">
        <w:rPr>
          <w:i/>
          <w:iCs/>
        </w:rPr>
        <w:t xml:space="preserve">). Inequalities in household wealth across OECD countries: Evidence from the OECD wealth distribution </w:t>
      </w:r>
      <w:r w:rsidR="000E568A" w:rsidRPr="00E0359C">
        <w:rPr>
          <w:i/>
          <w:iCs/>
        </w:rPr>
        <w:t>d</w:t>
      </w:r>
      <w:r w:rsidRPr="00E0359C">
        <w:rPr>
          <w:i/>
          <w:iCs/>
        </w:rPr>
        <w:t>atabase</w:t>
      </w:r>
      <w:r w:rsidR="000E568A" w:rsidRPr="00E0359C">
        <w:rPr>
          <w:i/>
          <w:iCs/>
        </w:rPr>
        <w:t>.</w:t>
      </w:r>
      <w:r w:rsidRPr="00E0359C">
        <w:rPr>
          <w:i/>
          <w:iCs/>
        </w:rPr>
        <w:t xml:space="preserve"> Working Paper 88</w:t>
      </w:r>
      <w:r w:rsidRPr="00E0359C">
        <w:t xml:space="preserve">. Paris: OECD Publishing. </w:t>
      </w:r>
    </w:p>
    <w:p w14:paraId="0E3C084F" w14:textId="77777777" w:rsidR="00C9778C" w:rsidRPr="00E0359C" w:rsidRDefault="00C9778C" w:rsidP="00C9778C">
      <w:pPr>
        <w:spacing w:after="120"/>
        <w:ind w:left="567" w:hanging="567"/>
      </w:pPr>
      <w:r w:rsidRPr="00E0359C">
        <w:t xml:space="preserve">Ball, Stephen. (1994). </w:t>
      </w:r>
      <w:r w:rsidRPr="00E0359C">
        <w:rPr>
          <w:i/>
        </w:rPr>
        <w:t>Education reform: A critical and post-structural approach</w:t>
      </w:r>
      <w:r w:rsidRPr="00E0359C">
        <w:t xml:space="preserve">. Buckingham: Open University Press. </w:t>
      </w:r>
    </w:p>
    <w:p w14:paraId="30176537" w14:textId="5EA36977" w:rsidR="00C9778C" w:rsidRPr="00E0359C" w:rsidRDefault="00C9778C" w:rsidP="00C9778C">
      <w:pPr>
        <w:spacing w:after="120"/>
        <w:ind w:left="567" w:hanging="567"/>
        <w:rPr>
          <w:rStyle w:val="Strong"/>
          <w:rFonts w:cstheme="minorHAnsi"/>
          <w:b w:val="0"/>
          <w:bCs w:val="0"/>
          <w:szCs w:val="22"/>
        </w:rPr>
      </w:pPr>
      <w:r w:rsidRPr="00E0359C">
        <w:t>Ball, Stephen. (2003</w:t>
      </w:r>
      <w:r w:rsidR="004B025A">
        <w:t>a</w:t>
      </w:r>
      <w:r w:rsidRPr="00E0359C">
        <w:t xml:space="preserve">). </w:t>
      </w:r>
      <w:r w:rsidRPr="00E0359C">
        <w:rPr>
          <w:i/>
        </w:rPr>
        <w:t xml:space="preserve">Class strategies and the </w:t>
      </w:r>
      <w:r w:rsidRPr="00E0359C">
        <w:rPr>
          <w:rStyle w:val="a-size-large"/>
          <w:rFonts w:cstheme="minorHAnsi"/>
          <w:i/>
          <w:szCs w:val="22"/>
        </w:rPr>
        <w:t>education market: The middle classes and social advantage</w:t>
      </w:r>
      <w:r w:rsidRPr="00E0359C">
        <w:rPr>
          <w:rStyle w:val="a-size-large"/>
          <w:rFonts w:cstheme="minorHAnsi"/>
          <w:szCs w:val="22"/>
        </w:rPr>
        <w:t>. Abingdon: Routledge.</w:t>
      </w:r>
    </w:p>
    <w:p w14:paraId="0C92B065" w14:textId="77777777" w:rsidR="00C9778C" w:rsidRPr="00E0359C" w:rsidRDefault="00C9778C" w:rsidP="00C9778C">
      <w:pPr>
        <w:spacing w:after="120"/>
        <w:ind w:left="567" w:hanging="567"/>
        <w:rPr>
          <w:i/>
          <w:iCs/>
        </w:rPr>
      </w:pPr>
      <w:r w:rsidRPr="00E0359C">
        <w:rPr>
          <w:rStyle w:val="HTMLCite"/>
          <w:rFonts w:cstheme="minorHAnsi"/>
          <w:i w:val="0"/>
          <w:iCs w:val="0"/>
          <w:szCs w:val="22"/>
        </w:rPr>
        <w:t xml:space="preserve">Begley, Glenn and Lee Ellis. (2012). Drug development: Raise standards for preclinical cancer research. </w:t>
      </w:r>
      <w:r w:rsidRPr="00E0359C">
        <w:rPr>
          <w:rStyle w:val="HTMLCite"/>
          <w:rFonts w:cstheme="minorHAnsi"/>
          <w:szCs w:val="22"/>
        </w:rPr>
        <w:t xml:space="preserve">Nature, </w:t>
      </w:r>
      <w:r w:rsidRPr="00E0359C">
        <w:rPr>
          <w:rStyle w:val="HTMLCite"/>
          <w:rFonts w:cstheme="minorHAnsi"/>
          <w:bCs/>
          <w:szCs w:val="22"/>
        </w:rPr>
        <w:t>483</w:t>
      </w:r>
      <w:r w:rsidRPr="00E0359C">
        <w:rPr>
          <w:rStyle w:val="HTMLCite"/>
          <w:rFonts w:cstheme="minorHAnsi"/>
          <w:i w:val="0"/>
          <w:iCs w:val="0"/>
          <w:szCs w:val="22"/>
        </w:rPr>
        <w:t>(7391), 531–533.</w:t>
      </w:r>
      <w:r w:rsidRPr="00E0359C">
        <w:rPr>
          <w:i/>
          <w:iCs/>
        </w:rPr>
        <w:t xml:space="preserve"> </w:t>
      </w:r>
    </w:p>
    <w:p w14:paraId="7285DC1E" w14:textId="77777777" w:rsidR="00C9778C" w:rsidRPr="00E0359C" w:rsidRDefault="00C9778C" w:rsidP="00C9778C">
      <w:pPr>
        <w:spacing w:after="120"/>
        <w:ind w:left="567" w:hanging="567"/>
      </w:pPr>
      <w:r w:rsidRPr="00E0359C">
        <w:t xml:space="preserve">Belfiore, Eleonora. (2011). The ‘transformative power’ of the arts; history of an idea. In Julian Sefton-Green, Pat Thompson, Ken Jones and </w:t>
      </w:r>
      <w:proofErr w:type="spellStart"/>
      <w:r w:rsidRPr="00E0359C">
        <w:t>Liora</w:t>
      </w:r>
      <w:proofErr w:type="spellEnd"/>
      <w:r w:rsidRPr="00E0359C">
        <w:t xml:space="preserve"> </w:t>
      </w:r>
      <w:proofErr w:type="spellStart"/>
      <w:r w:rsidRPr="00E0359C">
        <w:t>Bresler</w:t>
      </w:r>
      <w:proofErr w:type="spellEnd"/>
      <w:r w:rsidRPr="00E0359C">
        <w:t xml:space="preserve"> (Eds.),</w:t>
      </w:r>
      <w:r w:rsidRPr="00E0359C">
        <w:rPr>
          <w:i/>
        </w:rPr>
        <w:t xml:space="preserve"> The Routledge international handbook of creative learning, </w:t>
      </w:r>
      <w:r w:rsidRPr="00E0359C">
        <w:t xml:space="preserve">pp. 27–35. Abingdon: Routledge. </w:t>
      </w:r>
    </w:p>
    <w:p w14:paraId="22BCAF96" w14:textId="77777777" w:rsidR="00F6560B" w:rsidRPr="00E0359C" w:rsidRDefault="00F6560B" w:rsidP="00F6560B">
      <w:pPr>
        <w:autoSpaceDE w:val="0"/>
        <w:autoSpaceDN w:val="0"/>
        <w:adjustRightInd w:val="0"/>
        <w:spacing w:after="120"/>
        <w:ind w:left="567" w:hanging="567"/>
        <w:rPr>
          <w:rStyle w:val="Emphasis"/>
          <w:rFonts w:cstheme="minorHAnsi"/>
          <w:i w:val="0"/>
          <w:iCs w:val="0"/>
          <w:color w:val="1A1A1A"/>
          <w:szCs w:val="22"/>
          <w:shd w:val="clear" w:color="auto" w:fill="FFFFFF"/>
        </w:rPr>
      </w:pPr>
      <w:r w:rsidRPr="00E0359C">
        <w:rPr>
          <w:rStyle w:val="Emphasis"/>
          <w:rFonts w:cstheme="minorHAnsi"/>
          <w:i w:val="0"/>
          <w:iCs w:val="0"/>
          <w:color w:val="1A1A1A"/>
          <w:szCs w:val="22"/>
          <w:shd w:val="clear" w:color="auto" w:fill="FFFFFF"/>
        </w:rPr>
        <w:t xml:space="preserve">Bentham, Jeremy. (1991 [1776]). </w:t>
      </w:r>
      <w:r w:rsidRPr="00E0359C">
        <w:rPr>
          <w:rStyle w:val="Emphasis"/>
          <w:rFonts w:cstheme="minorHAnsi"/>
          <w:color w:val="1A1A1A"/>
          <w:szCs w:val="22"/>
          <w:shd w:val="clear" w:color="auto" w:fill="FFFFFF"/>
        </w:rPr>
        <w:t>The collected works of Jeremy Bentham: Constitutional Code Volume 1.</w:t>
      </w:r>
      <w:r w:rsidRPr="00E0359C">
        <w:rPr>
          <w:rStyle w:val="Emphasis"/>
          <w:rFonts w:cstheme="minorHAnsi"/>
          <w:i w:val="0"/>
          <w:iCs w:val="0"/>
          <w:color w:val="1A1A1A"/>
          <w:szCs w:val="22"/>
          <w:shd w:val="clear" w:color="auto" w:fill="FFFFFF"/>
        </w:rPr>
        <w:t xml:space="preserve"> Frederick Burns and James Rosen (Eds.). London: Athlone Press.</w:t>
      </w:r>
    </w:p>
    <w:p w14:paraId="20851933" w14:textId="77777777" w:rsidR="00F00B1C" w:rsidRPr="00E0359C" w:rsidRDefault="00F00B1C" w:rsidP="00C9778C">
      <w:pPr>
        <w:spacing w:after="120"/>
        <w:ind w:left="567" w:hanging="567"/>
      </w:pPr>
      <w:proofErr w:type="spellStart"/>
      <w:r w:rsidRPr="00E0359C">
        <w:t>Berdiansky</w:t>
      </w:r>
      <w:proofErr w:type="spellEnd"/>
      <w:r w:rsidRPr="00E0359C">
        <w:t xml:space="preserve">, Betty, Bruce </w:t>
      </w:r>
      <w:proofErr w:type="spellStart"/>
      <w:r w:rsidRPr="00E0359C">
        <w:t>Cronnell</w:t>
      </w:r>
      <w:proofErr w:type="spellEnd"/>
      <w:r w:rsidRPr="00E0359C">
        <w:t xml:space="preserve"> and John Koehler. (1969). Spelling</w:t>
      </w:r>
      <w:r w:rsidRPr="00E0359C">
        <w:rPr>
          <w:rFonts w:ascii="Calibri" w:hAnsi="Calibri" w:cs="Calibri"/>
          <w:szCs w:val="22"/>
        </w:rPr>
        <w:t>–</w:t>
      </w:r>
      <w:r w:rsidRPr="00E0359C">
        <w:t>sound relations and primary form-class descriptions for speech comprehension vocabularies of 6</w:t>
      </w:r>
      <w:r w:rsidRPr="00E0359C">
        <w:rPr>
          <w:rFonts w:ascii="Calibri" w:hAnsi="Calibri" w:cs="Calibri"/>
          <w:szCs w:val="22"/>
        </w:rPr>
        <w:t>–</w:t>
      </w:r>
      <w:r w:rsidRPr="00E0359C">
        <w:t xml:space="preserve">9 year olds. </w:t>
      </w:r>
      <w:r w:rsidRPr="00E0359C">
        <w:rPr>
          <w:i/>
        </w:rPr>
        <w:t>Technical Report No. 15</w:t>
      </w:r>
      <w:r w:rsidRPr="00E0359C">
        <w:t>. Los Alamitos, CA: Southwest Regional Laboratory for Educational Research and Development.</w:t>
      </w:r>
    </w:p>
    <w:p w14:paraId="35675DB9" w14:textId="53F95D82" w:rsidR="00C9778C" w:rsidRPr="00E0359C" w:rsidRDefault="00C9778C" w:rsidP="00C9778C">
      <w:pPr>
        <w:spacing w:after="120"/>
        <w:ind w:left="567" w:hanging="567"/>
        <w:rPr>
          <w:rStyle w:val="meta-author"/>
          <w:rFonts w:cstheme="minorHAnsi"/>
          <w:szCs w:val="22"/>
        </w:rPr>
      </w:pPr>
      <w:r w:rsidRPr="00E0359C">
        <w:rPr>
          <w:rStyle w:val="reference-text"/>
          <w:rFonts w:cstheme="minorHAnsi"/>
          <w:color w:val="222222"/>
          <w:szCs w:val="22"/>
          <w:shd w:val="clear" w:color="auto" w:fill="FFFFFF"/>
        </w:rPr>
        <w:t xml:space="preserve">Bohr, Niels. (1928). The quantum postulate and the recent development of atomic theory. </w:t>
      </w:r>
      <w:r w:rsidRPr="00E0359C">
        <w:rPr>
          <w:rStyle w:val="reference-text"/>
          <w:rFonts w:cstheme="minorHAnsi"/>
          <w:i/>
          <w:iCs/>
          <w:color w:val="222222"/>
          <w:szCs w:val="22"/>
          <w:shd w:val="clear" w:color="auto" w:fill="FFFFFF"/>
        </w:rPr>
        <w:t>Nature</w:t>
      </w:r>
      <w:r w:rsidRPr="00E0359C">
        <w:rPr>
          <w:rStyle w:val="reference-text"/>
          <w:rFonts w:cstheme="minorHAnsi"/>
          <w:color w:val="222222"/>
          <w:szCs w:val="22"/>
          <w:shd w:val="clear" w:color="auto" w:fill="FFFFFF"/>
        </w:rPr>
        <w:t xml:space="preserve">, </w:t>
      </w:r>
      <w:r w:rsidRPr="00E0359C">
        <w:rPr>
          <w:rStyle w:val="reference-text"/>
          <w:rFonts w:cstheme="minorHAnsi"/>
          <w:bCs/>
          <w:i/>
          <w:iCs/>
          <w:color w:val="222222"/>
          <w:szCs w:val="22"/>
          <w:shd w:val="clear" w:color="auto" w:fill="FFFFFF"/>
        </w:rPr>
        <w:t>121</w:t>
      </w:r>
      <w:r w:rsidRPr="00E0359C">
        <w:rPr>
          <w:rStyle w:val="reference-text"/>
          <w:rFonts w:cstheme="minorHAnsi"/>
          <w:bCs/>
          <w:color w:val="222222"/>
          <w:szCs w:val="22"/>
          <w:shd w:val="clear" w:color="auto" w:fill="FFFFFF"/>
        </w:rPr>
        <w:t xml:space="preserve">, </w:t>
      </w:r>
      <w:r w:rsidRPr="00E0359C">
        <w:rPr>
          <w:rStyle w:val="reference-text"/>
          <w:rFonts w:cstheme="minorHAnsi"/>
          <w:color w:val="222222"/>
          <w:szCs w:val="22"/>
          <w:shd w:val="clear" w:color="auto" w:fill="FFFFFF"/>
        </w:rPr>
        <w:t xml:space="preserve">580–590, 14 April. </w:t>
      </w:r>
    </w:p>
    <w:p w14:paraId="59834DF5" w14:textId="77777777" w:rsidR="00C9778C" w:rsidRPr="00E0359C" w:rsidRDefault="00C9778C" w:rsidP="00C9778C">
      <w:pPr>
        <w:spacing w:after="120"/>
        <w:ind w:left="567" w:hanging="567"/>
        <w:rPr>
          <w:rStyle w:val="meta-author"/>
          <w:rFonts w:cstheme="minorHAnsi"/>
          <w:szCs w:val="22"/>
        </w:rPr>
      </w:pPr>
      <w:r w:rsidRPr="00E0359C">
        <w:t xml:space="preserve">Born, Max and Werner Heisenberg. (1925). </w:t>
      </w:r>
      <w:proofErr w:type="spellStart"/>
      <w:r w:rsidRPr="00E0359C">
        <w:rPr>
          <w:rStyle w:val="HTMLCite"/>
          <w:rFonts w:cstheme="minorHAnsi"/>
          <w:i w:val="0"/>
          <w:iCs w:val="0"/>
          <w:color w:val="222222"/>
          <w:szCs w:val="22"/>
        </w:rPr>
        <w:t>Über</w:t>
      </w:r>
      <w:proofErr w:type="spellEnd"/>
      <w:r w:rsidRPr="00E0359C">
        <w:rPr>
          <w:rStyle w:val="HTMLCite"/>
          <w:rFonts w:cstheme="minorHAnsi"/>
          <w:i w:val="0"/>
          <w:iCs w:val="0"/>
          <w:color w:val="222222"/>
          <w:szCs w:val="22"/>
        </w:rPr>
        <w:t xml:space="preserve"> </w:t>
      </w:r>
      <w:proofErr w:type="spellStart"/>
      <w:r w:rsidRPr="00E0359C">
        <w:rPr>
          <w:rStyle w:val="HTMLCite"/>
          <w:rFonts w:cstheme="minorHAnsi"/>
          <w:i w:val="0"/>
          <w:iCs w:val="0"/>
          <w:color w:val="222222"/>
          <w:szCs w:val="22"/>
        </w:rPr>
        <w:t>quantentheoretische</w:t>
      </w:r>
      <w:proofErr w:type="spellEnd"/>
      <w:r w:rsidRPr="00E0359C">
        <w:rPr>
          <w:rStyle w:val="HTMLCite"/>
          <w:rFonts w:cstheme="minorHAnsi"/>
          <w:i w:val="0"/>
          <w:iCs w:val="0"/>
          <w:color w:val="222222"/>
          <w:szCs w:val="22"/>
        </w:rPr>
        <w:t xml:space="preserve"> </w:t>
      </w:r>
      <w:proofErr w:type="spellStart"/>
      <w:r w:rsidRPr="00E0359C">
        <w:rPr>
          <w:rStyle w:val="HTMLCite"/>
          <w:rFonts w:cstheme="minorHAnsi"/>
          <w:i w:val="0"/>
          <w:iCs w:val="0"/>
          <w:color w:val="222222"/>
          <w:szCs w:val="22"/>
        </w:rPr>
        <w:t>umdeutung</w:t>
      </w:r>
      <w:proofErr w:type="spellEnd"/>
      <w:r w:rsidRPr="00E0359C">
        <w:rPr>
          <w:rStyle w:val="HTMLCite"/>
          <w:rFonts w:cstheme="minorHAnsi"/>
          <w:i w:val="0"/>
          <w:iCs w:val="0"/>
          <w:color w:val="222222"/>
          <w:szCs w:val="22"/>
        </w:rPr>
        <w:t xml:space="preserve"> </w:t>
      </w:r>
      <w:proofErr w:type="spellStart"/>
      <w:r w:rsidRPr="00E0359C">
        <w:rPr>
          <w:rStyle w:val="HTMLCite"/>
          <w:rFonts w:cstheme="minorHAnsi"/>
          <w:i w:val="0"/>
          <w:iCs w:val="0"/>
          <w:color w:val="222222"/>
          <w:szCs w:val="22"/>
        </w:rPr>
        <w:t>kinematischer</w:t>
      </w:r>
      <w:proofErr w:type="spellEnd"/>
      <w:r w:rsidRPr="00E0359C">
        <w:rPr>
          <w:rStyle w:val="HTMLCite"/>
          <w:rFonts w:cstheme="minorHAnsi"/>
          <w:i w:val="0"/>
          <w:iCs w:val="0"/>
          <w:color w:val="222222"/>
          <w:szCs w:val="22"/>
        </w:rPr>
        <w:t xml:space="preserve"> und </w:t>
      </w:r>
      <w:proofErr w:type="spellStart"/>
      <w:r w:rsidRPr="00E0359C">
        <w:rPr>
          <w:rStyle w:val="HTMLCite"/>
          <w:rFonts w:cstheme="minorHAnsi"/>
          <w:i w:val="0"/>
          <w:iCs w:val="0"/>
          <w:color w:val="222222"/>
          <w:szCs w:val="22"/>
        </w:rPr>
        <w:t>mechanischer</w:t>
      </w:r>
      <w:proofErr w:type="spellEnd"/>
      <w:r w:rsidRPr="00E0359C">
        <w:rPr>
          <w:rStyle w:val="HTMLCite"/>
          <w:rFonts w:cstheme="minorHAnsi"/>
          <w:i w:val="0"/>
          <w:iCs w:val="0"/>
          <w:color w:val="222222"/>
          <w:szCs w:val="22"/>
        </w:rPr>
        <w:t xml:space="preserve"> </w:t>
      </w:r>
      <w:proofErr w:type="spellStart"/>
      <w:r w:rsidRPr="00E0359C">
        <w:rPr>
          <w:rStyle w:val="HTMLCite"/>
          <w:rFonts w:cstheme="minorHAnsi"/>
          <w:i w:val="0"/>
          <w:iCs w:val="0"/>
          <w:color w:val="222222"/>
          <w:szCs w:val="22"/>
        </w:rPr>
        <w:t>beziehungen</w:t>
      </w:r>
      <w:proofErr w:type="spellEnd"/>
      <w:r w:rsidRPr="00E0359C">
        <w:rPr>
          <w:rStyle w:val="HTMLCite"/>
          <w:rFonts w:cstheme="minorHAnsi"/>
          <w:color w:val="222222"/>
          <w:szCs w:val="22"/>
        </w:rPr>
        <w:t xml:space="preserve">. </w:t>
      </w:r>
      <w:proofErr w:type="spellStart"/>
      <w:r w:rsidRPr="00E0359C">
        <w:rPr>
          <w:rStyle w:val="HTMLCite"/>
          <w:rFonts w:cstheme="minorHAnsi"/>
          <w:color w:val="222222"/>
          <w:szCs w:val="22"/>
        </w:rPr>
        <w:t>Zeitschrift</w:t>
      </w:r>
      <w:proofErr w:type="spellEnd"/>
      <w:r w:rsidRPr="00E0359C">
        <w:rPr>
          <w:rStyle w:val="HTMLCite"/>
          <w:rFonts w:cstheme="minorHAnsi"/>
          <w:color w:val="222222"/>
          <w:szCs w:val="22"/>
        </w:rPr>
        <w:t xml:space="preserve"> </w:t>
      </w:r>
      <w:proofErr w:type="spellStart"/>
      <w:r w:rsidRPr="00E0359C">
        <w:rPr>
          <w:rStyle w:val="HTMLCite"/>
          <w:rFonts w:cstheme="minorHAnsi"/>
          <w:color w:val="222222"/>
          <w:szCs w:val="22"/>
        </w:rPr>
        <w:t>für</w:t>
      </w:r>
      <w:proofErr w:type="spellEnd"/>
      <w:r w:rsidRPr="00E0359C">
        <w:rPr>
          <w:rStyle w:val="HTMLCite"/>
          <w:rFonts w:cstheme="minorHAnsi"/>
          <w:color w:val="222222"/>
          <w:szCs w:val="22"/>
        </w:rPr>
        <w:t xml:space="preserve"> </w:t>
      </w:r>
      <w:proofErr w:type="spellStart"/>
      <w:r w:rsidRPr="00E0359C">
        <w:rPr>
          <w:rStyle w:val="HTMLCite"/>
          <w:rFonts w:cstheme="minorHAnsi"/>
          <w:color w:val="222222"/>
          <w:szCs w:val="22"/>
        </w:rPr>
        <w:t>Physik</w:t>
      </w:r>
      <w:proofErr w:type="spellEnd"/>
      <w:r w:rsidRPr="00E0359C">
        <w:rPr>
          <w:rStyle w:val="HTMLCite"/>
          <w:rFonts w:cstheme="minorHAnsi"/>
          <w:color w:val="222222"/>
          <w:szCs w:val="22"/>
        </w:rPr>
        <w:t xml:space="preserve">, </w:t>
      </w:r>
      <w:r w:rsidRPr="00E0359C">
        <w:rPr>
          <w:rStyle w:val="HTMLCite"/>
          <w:rFonts w:cstheme="minorHAnsi"/>
          <w:bCs/>
          <w:color w:val="222222"/>
          <w:szCs w:val="22"/>
        </w:rPr>
        <w:t>33</w:t>
      </w:r>
      <w:r w:rsidRPr="00E0359C">
        <w:rPr>
          <w:rStyle w:val="HTMLCite"/>
          <w:rFonts w:cstheme="minorHAnsi"/>
          <w:color w:val="222222"/>
          <w:szCs w:val="22"/>
        </w:rPr>
        <w:t xml:space="preserve">, </w:t>
      </w:r>
      <w:r w:rsidRPr="00E0359C">
        <w:rPr>
          <w:rStyle w:val="HTMLCite"/>
          <w:rFonts w:cstheme="minorHAnsi"/>
          <w:i w:val="0"/>
          <w:iCs w:val="0"/>
          <w:color w:val="222222"/>
          <w:szCs w:val="22"/>
        </w:rPr>
        <w:t>879–893.</w:t>
      </w:r>
      <w:r w:rsidRPr="00E0359C">
        <w:rPr>
          <w:rStyle w:val="HTMLCite"/>
          <w:rFonts w:cstheme="minorHAnsi"/>
          <w:color w:val="222222"/>
          <w:szCs w:val="22"/>
        </w:rPr>
        <w:t xml:space="preserve"> </w:t>
      </w:r>
    </w:p>
    <w:p w14:paraId="1F567EB2" w14:textId="77777777" w:rsidR="00A2222A" w:rsidRPr="00E0359C" w:rsidRDefault="00A2222A" w:rsidP="00A2222A">
      <w:pPr>
        <w:spacing w:after="120"/>
        <w:ind w:left="567" w:hanging="567"/>
        <w:rPr>
          <w:b/>
          <w:bCs/>
        </w:rPr>
      </w:pPr>
      <w:r w:rsidRPr="00E0359C">
        <w:t xml:space="preserve">Bourdieu, Pierre and Jean-Claude </w:t>
      </w:r>
      <w:proofErr w:type="spellStart"/>
      <w:r w:rsidRPr="00E0359C">
        <w:t>Passeron</w:t>
      </w:r>
      <w:proofErr w:type="spellEnd"/>
      <w:r w:rsidRPr="00E0359C">
        <w:t>. (1990</w:t>
      </w:r>
      <w:r w:rsidRPr="00E0359C">
        <w:rPr>
          <w:b/>
        </w:rPr>
        <w:t xml:space="preserve"> </w:t>
      </w:r>
      <w:r w:rsidRPr="00E0359C">
        <w:rPr>
          <w:bCs/>
        </w:rPr>
        <w:t>[1970]).</w:t>
      </w:r>
      <w:r w:rsidRPr="00E0359C">
        <w:t xml:space="preserve"> </w:t>
      </w:r>
      <w:r w:rsidRPr="00E0359C">
        <w:rPr>
          <w:i/>
        </w:rPr>
        <w:t>Reproduction in education, society and culture</w:t>
      </w:r>
      <w:r w:rsidRPr="00E0359C">
        <w:t xml:space="preserve"> (2nd edition). London: Sage. [Translated by Richard Nice, from Pierre Bourdieu and Jean-Claude </w:t>
      </w:r>
      <w:proofErr w:type="spellStart"/>
      <w:r w:rsidRPr="00E0359C">
        <w:t>Passeron</w:t>
      </w:r>
      <w:proofErr w:type="spellEnd"/>
      <w:r w:rsidRPr="00E0359C">
        <w:t xml:space="preserve">. (1970). </w:t>
      </w:r>
      <w:r w:rsidRPr="00E0359C">
        <w:rPr>
          <w:i/>
          <w:iCs/>
          <w:shd w:val="clear" w:color="auto" w:fill="FFFFFF"/>
        </w:rPr>
        <w:t xml:space="preserve">La reproduction: </w:t>
      </w:r>
      <w:proofErr w:type="spellStart"/>
      <w:r w:rsidRPr="00E0359C">
        <w:rPr>
          <w:i/>
          <w:iCs/>
          <w:shd w:val="clear" w:color="auto" w:fill="FFFFFF"/>
        </w:rPr>
        <w:t>Éléments</w:t>
      </w:r>
      <w:proofErr w:type="spellEnd"/>
      <w:r w:rsidRPr="00E0359C">
        <w:rPr>
          <w:i/>
          <w:iCs/>
          <w:shd w:val="clear" w:color="auto" w:fill="FFFFFF"/>
        </w:rPr>
        <w:t xml:space="preserve"> pour </w:t>
      </w:r>
      <w:proofErr w:type="spellStart"/>
      <w:r w:rsidRPr="00E0359C">
        <w:rPr>
          <w:i/>
          <w:iCs/>
          <w:shd w:val="clear" w:color="auto" w:fill="FFFFFF"/>
        </w:rPr>
        <w:t>une</w:t>
      </w:r>
      <w:proofErr w:type="spellEnd"/>
      <w:r w:rsidRPr="00E0359C">
        <w:rPr>
          <w:i/>
          <w:iCs/>
          <w:shd w:val="clear" w:color="auto" w:fill="FFFFFF"/>
        </w:rPr>
        <w:t xml:space="preserve"> </w:t>
      </w:r>
      <w:proofErr w:type="spellStart"/>
      <w:r w:rsidRPr="00E0359C">
        <w:rPr>
          <w:i/>
          <w:iCs/>
          <w:shd w:val="clear" w:color="auto" w:fill="FFFFFF"/>
        </w:rPr>
        <w:t>théorie</w:t>
      </w:r>
      <w:proofErr w:type="spellEnd"/>
      <w:r w:rsidRPr="00E0359C">
        <w:rPr>
          <w:i/>
          <w:iCs/>
          <w:shd w:val="clear" w:color="auto" w:fill="FFFFFF"/>
        </w:rPr>
        <w:t xml:space="preserve"> du </w:t>
      </w:r>
      <w:proofErr w:type="spellStart"/>
      <w:r w:rsidRPr="00E0359C">
        <w:rPr>
          <w:i/>
          <w:iCs/>
          <w:shd w:val="clear" w:color="auto" w:fill="FFFFFF"/>
        </w:rPr>
        <w:t>système</w:t>
      </w:r>
      <w:proofErr w:type="spellEnd"/>
      <w:r w:rsidRPr="00E0359C">
        <w:rPr>
          <w:i/>
          <w:iCs/>
          <w:shd w:val="clear" w:color="auto" w:fill="FFFFFF"/>
        </w:rPr>
        <w:t xml:space="preserve"> </w:t>
      </w:r>
      <w:proofErr w:type="spellStart"/>
      <w:r w:rsidRPr="00E0359C">
        <w:rPr>
          <w:i/>
          <w:iCs/>
          <w:shd w:val="clear" w:color="auto" w:fill="FFFFFF"/>
        </w:rPr>
        <w:t>d'enseignement</w:t>
      </w:r>
      <w:proofErr w:type="spellEnd"/>
      <w:r w:rsidRPr="00E0359C">
        <w:rPr>
          <w:shd w:val="clear" w:color="auto" w:fill="FFFFFF"/>
        </w:rPr>
        <w:t>. Paris: Les Éditions de Minuit].</w:t>
      </w:r>
      <w:r w:rsidRPr="00E0359C">
        <w:t xml:space="preserve"> </w:t>
      </w:r>
    </w:p>
    <w:p w14:paraId="062AEADB" w14:textId="77777777" w:rsidR="00C9778C" w:rsidRPr="00E0359C" w:rsidRDefault="00C9778C" w:rsidP="00C9778C">
      <w:pPr>
        <w:spacing w:after="120"/>
        <w:ind w:left="567" w:hanging="567"/>
        <w:rPr>
          <w:rStyle w:val="Strong"/>
          <w:rFonts w:cstheme="minorHAnsi"/>
          <w:b w:val="0"/>
          <w:bCs w:val="0"/>
          <w:iCs/>
          <w:szCs w:val="22"/>
        </w:rPr>
      </w:pPr>
      <w:r w:rsidRPr="00E0359C">
        <w:rPr>
          <w:rStyle w:val="Strong"/>
          <w:rFonts w:cstheme="minorHAnsi"/>
          <w:b w:val="0"/>
          <w:szCs w:val="22"/>
          <w:bdr w:val="none" w:sz="0" w:space="0" w:color="auto" w:frame="1"/>
        </w:rPr>
        <w:lastRenderedPageBreak/>
        <w:t>Bowles, Samuel and Herb Gintis. (</w:t>
      </w:r>
      <w:r w:rsidRPr="00E0359C">
        <w:rPr>
          <w:rStyle w:val="HTMLCite"/>
          <w:rFonts w:cstheme="minorHAnsi"/>
          <w:i w:val="0"/>
          <w:iCs w:val="0"/>
          <w:szCs w:val="22"/>
        </w:rPr>
        <w:t>1976).</w:t>
      </w:r>
      <w:r w:rsidRPr="00E0359C">
        <w:rPr>
          <w:rStyle w:val="HTMLCite"/>
          <w:rFonts w:cstheme="minorHAnsi"/>
          <w:szCs w:val="22"/>
        </w:rPr>
        <w:t xml:space="preserve"> Schooling in capitalist America: Educational reform and the contradictions of economic life</w:t>
      </w:r>
      <w:r w:rsidRPr="00E0359C">
        <w:rPr>
          <w:rStyle w:val="HTMLCite"/>
          <w:rFonts w:cstheme="minorHAnsi"/>
          <w:i w:val="0"/>
          <w:iCs w:val="0"/>
          <w:szCs w:val="22"/>
        </w:rPr>
        <w:t>. New York NY: Basic Books.</w:t>
      </w:r>
    </w:p>
    <w:p w14:paraId="378081B7" w14:textId="77777777" w:rsidR="00C9778C" w:rsidRPr="00E0359C" w:rsidRDefault="00C9778C" w:rsidP="00C9778C">
      <w:pPr>
        <w:spacing w:after="120"/>
        <w:ind w:left="567" w:hanging="567"/>
      </w:pPr>
      <w:proofErr w:type="spellStart"/>
      <w:r w:rsidRPr="00E0359C">
        <w:t>Bøyum</w:t>
      </w:r>
      <w:proofErr w:type="spellEnd"/>
      <w:r w:rsidRPr="00E0359C">
        <w:t xml:space="preserve">, Steinar. (2014). Fairness in education – a normative analysis of OECD policy documents. </w:t>
      </w:r>
      <w:r w:rsidRPr="00E0359C">
        <w:rPr>
          <w:i/>
        </w:rPr>
        <w:t>Journal of Education Policy,</w:t>
      </w:r>
      <w:r w:rsidRPr="00E0359C">
        <w:t xml:space="preserve"> </w:t>
      </w:r>
      <w:r w:rsidRPr="00E0359C">
        <w:rPr>
          <w:i/>
          <w:iCs/>
        </w:rPr>
        <w:t>29</w:t>
      </w:r>
      <w:r w:rsidRPr="00E0359C">
        <w:t xml:space="preserve">(6), 856–870. </w:t>
      </w:r>
    </w:p>
    <w:p w14:paraId="35E6BCC1" w14:textId="77777777" w:rsidR="00F00B1C" w:rsidRPr="00E0359C" w:rsidRDefault="00F00B1C" w:rsidP="00F00B1C">
      <w:pPr>
        <w:spacing w:after="120"/>
        <w:ind w:left="567" w:hanging="567"/>
        <w:rPr>
          <w:b/>
        </w:rPr>
      </w:pPr>
      <w:r w:rsidRPr="00E0359C">
        <w:t xml:space="preserve">Brubaker, Rogers (2016). </w:t>
      </w:r>
      <w:r w:rsidRPr="00E0359C">
        <w:rPr>
          <w:i/>
          <w:iCs/>
        </w:rPr>
        <w:t xml:space="preserve">Trans: Gender and race in an age of unsettled identities. </w:t>
      </w:r>
      <w:r w:rsidRPr="00E0359C">
        <w:t xml:space="preserve">Princeton NJ: Princeton University Press. </w:t>
      </w:r>
    </w:p>
    <w:p w14:paraId="249FD9B5" w14:textId="77777777" w:rsidR="00C9778C" w:rsidRPr="00E0359C" w:rsidRDefault="00C9778C" w:rsidP="00C9778C">
      <w:pPr>
        <w:spacing w:after="120"/>
        <w:ind w:left="567" w:hanging="567"/>
        <w:rPr>
          <w:b/>
          <w:bCs/>
          <w:spacing w:val="3"/>
        </w:rPr>
      </w:pPr>
      <w:r w:rsidRPr="00E0359C">
        <w:t xml:space="preserve">Camerer, Colin, Brian </w:t>
      </w:r>
      <w:proofErr w:type="spellStart"/>
      <w:r w:rsidRPr="00E0359C">
        <w:t>Nosek</w:t>
      </w:r>
      <w:proofErr w:type="spellEnd"/>
      <w:r w:rsidRPr="00E0359C">
        <w:t xml:space="preserve">, Anna </w:t>
      </w:r>
      <w:proofErr w:type="spellStart"/>
      <w:r w:rsidRPr="00E0359C">
        <w:t>Dreber</w:t>
      </w:r>
      <w:proofErr w:type="spellEnd"/>
      <w:r w:rsidRPr="00E0359C">
        <w:t xml:space="preserve"> and 21 others. (2018). </w:t>
      </w:r>
      <w:r w:rsidRPr="00E0359C">
        <w:rPr>
          <w:spacing w:val="3"/>
        </w:rPr>
        <w:t xml:space="preserve">Evaluating the replicability of social science experiments in </w:t>
      </w:r>
      <w:r w:rsidRPr="00E0359C">
        <w:rPr>
          <w:i/>
          <w:iCs/>
          <w:spacing w:val="3"/>
        </w:rPr>
        <w:t>Nature</w:t>
      </w:r>
      <w:r w:rsidRPr="00E0359C">
        <w:rPr>
          <w:spacing w:val="3"/>
        </w:rPr>
        <w:t xml:space="preserve"> and </w:t>
      </w:r>
      <w:r w:rsidRPr="00E0359C">
        <w:rPr>
          <w:i/>
          <w:iCs/>
          <w:spacing w:val="3"/>
        </w:rPr>
        <w:t xml:space="preserve">Science </w:t>
      </w:r>
      <w:r w:rsidRPr="00E0359C">
        <w:rPr>
          <w:spacing w:val="3"/>
        </w:rPr>
        <w:t xml:space="preserve">between 2010 and 2015. </w:t>
      </w:r>
      <w:r w:rsidRPr="00E0359C">
        <w:rPr>
          <w:i/>
          <w:spacing w:val="3"/>
        </w:rPr>
        <w:t>Nature Human Behaviour</w:t>
      </w:r>
      <w:r w:rsidRPr="00E0359C">
        <w:rPr>
          <w:spacing w:val="3"/>
        </w:rPr>
        <w:t xml:space="preserve">, </w:t>
      </w:r>
      <w:r w:rsidRPr="00E0359C">
        <w:rPr>
          <w:i/>
          <w:iCs/>
          <w:spacing w:val="3"/>
        </w:rPr>
        <w:t>2</w:t>
      </w:r>
      <w:r w:rsidRPr="00E0359C">
        <w:rPr>
          <w:spacing w:val="3"/>
        </w:rPr>
        <w:t>(9), 637</w:t>
      </w:r>
      <w:r w:rsidRPr="00E0359C">
        <w:t>–</w:t>
      </w:r>
      <w:r w:rsidRPr="00E0359C">
        <w:rPr>
          <w:spacing w:val="3"/>
        </w:rPr>
        <w:t xml:space="preserve">644. </w:t>
      </w:r>
    </w:p>
    <w:p w14:paraId="21F08048" w14:textId="77777777" w:rsidR="00F00B1C" w:rsidRPr="00E0359C" w:rsidRDefault="00F00B1C" w:rsidP="00F00B1C">
      <w:pPr>
        <w:spacing w:after="120"/>
        <w:ind w:left="567" w:hanging="567"/>
      </w:pPr>
      <w:r w:rsidRPr="00E0359C">
        <w:t xml:space="preserve">Curriculum Review Group [Scotland]. (2004). </w:t>
      </w:r>
      <w:r w:rsidRPr="00E0359C">
        <w:rPr>
          <w:i/>
        </w:rPr>
        <w:t>Curriculum for excellence</w:t>
      </w:r>
      <w:r w:rsidRPr="00E0359C">
        <w:t xml:space="preserve">. Edinburgh: Scottish Executive. </w:t>
      </w:r>
    </w:p>
    <w:p w14:paraId="227600EE" w14:textId="77777777" w:rsidR="00F00B1C" w:rsidRPr="00E0359C" w:rsidRDefault="00F00B1C" w:rsidP="00F00B1C">
      <w:pPr>
        <w:spacing w:after="120"/>
        <w:ind w:left="567" w:hanging="567"/>
        <w:rPr>
          <w:rStyle w:val="Strong"/>
          <w:rFonts w:cstheme="minorHAnsi"/>
          <w:b w:val="0"/>
          <w:szCs w:val="22"/>
          <w:bdr w:val="none" w:sz="0" w:space="0" w:color="auto" w:frame="1"/>
        </w:rPr>
      </w:pPr>
      <w:proofErr w:type="spellStart"/>
      <w:r w:rsidRPr="00E0359C">
        <w:t>d’Agnese</w:t>
      </w:r>
      <w:proofErr w:type="spellEnd"/>
      <w:r w:rsidRPr="00E0359C">
        <w:t xml:space="preserve">, Vasco. (2018a). Concealment and advertising: Unravelling OECD’s educational rhetoric. </w:t>
      </w:r>
      <w:proofErr w:type="spellStart"/>
      <w:r w:rsidRPr="00E0359C">
        <w:rPr>
          <w:i/>
        </w:rPr>
        <w:t>Šolsko</w:t>
      </w:r>
      <w:proofErr w:type="spellEnd"/>
      <w:r w:rsidRPr="00E0359C">
        <w:rPr>
          <w:i/>
        </w:rPr>
        <w:t xml:space="preserve"> polje: </w:t>
      </w:r>
      <w:proofErr w:type="spellStart"/>
      <w:r w:rsidRPr="00E0359C">
        <w:rPr>
          <w:i/>
        </w:rPr>
        <w:t>Revija</w:t>
      </w:r>
      <w:proofErr w:type="spellEnd"/>
      <w:r w:rsidRPr="00E0359C">
        <w:rPr>
          <w:i/>
        </w:rPr>
        <w:t xml:space="preserve"> za </w:t>
      </w:r>
      <w:proofErr w:type="spellStart"/>
      <w:r w:rsidRPr="00E0359C">
        <w:rPr>
          <w:i/>
        </w:rPr>
        <w:t>teorijo</w:t>
      </w:r>
      <w:proofErr w:type="spellEnd"/>
      <w:r w:rsidRPr="00E0359C">
        <w:rPr>
          <w:i/>
        </w:rPr>
        <w:t xml:space="preserve"> in </w:t>
      </w:r>
      <w:proofErr w:type="spellStart"/>
      <w:r w:rsidRPr="00E0359C">
        <w:rPr>
          <w:i/>
        </w:rPr>
        <w:t>raziskave</w:t>
      </w:r>
      <w:proofErr w:type="spellEnd"/>
      <w:r w:rsidRPr="00E0359C">
        <w:rPr>
          <w:i/>
        </w:rPr>
        <w:t xml:space="preserve"> </w:t>
      </w:r>
      <w:proofErr w:type="spellStart"/>
      <w:r w:rsidRPr="00E0359C">
        <w:rPr>
          <w:i/>
        </w:rPr>
        <w:t>vzgoje</w:t>
      </w:r>
      <w:proofErr w:type="spellEnd"/>
      <w:r w:rsidRPr="00E0359C">
        <w:rPr>
          <w:i/>
        </w:rPr>
        <w:t xml:space="preserve"> in </w:t>
      </w:r>
      <w:proofErr w:type="spellStart"/>
      <w:r w:rsidRPr="00E0359C">
        <w:rPr>
          <w:i/>
        </w:rPr>
        <w:t>izobraževanja</w:t>
      </w:r>
      <w:proofErr w:type="spellEnd"/>
      <w:r w:rsidRPr="00E0359C">
        <w:t xml:space="preserve"> [</w:t>
      </w:r>
      <w:r w:rsidRPr="00E0359C">
        <w:rPr>
          <w:i/>
        </w:rPr>
        <w:t>The School Field: Journal of Theory and Research in Education</w:t>
      </w:r>
      <w:r w:rsidRPr="00E0359C">
        <w:t xml:space="preserve">], </w:t>
      </w:r>
      <w:r w:rsidRPr="00E0359C">
        <w:rPr>
          <w:i/>
          <w:iCs/>
        </w:rPr>
        <w:t>29</w:t>
      </w:r>
      <w:r w:rsidRPr="00E0359C">
        <w:t>(1</w:t>
      </w:r>
      <w:r w:rsidRPr="00E0359C">
        <w:rPr>
          <w:rFonts w:ascii="Calibri" w:hAnsi="Calibri" w:cs="Calibri"/>
          <w:szCs w:val="22"/>
        </w:rPr>
        <w:t>–</w:t>
      </w:r>
      <w:r w:rsidRPr="00E0359C">
        <w:t xml:space="preserve">2), </w:t>
      </w:r>
      <w:r w:rsidRPr="00E0359C">
        <w:rPr>
          <w:rStyle w:val="Strong"/>
          <w:rFonts w:cstheme="minorHAnsi"/>
          <w:b w:val="0"/>
          <w:szCs w:val="22"/>
          <w:bdr w:val="none" w:sz="0" w:space="0" w:color="auto" w:frame="1"/>
        </w:rPr>
        <w:t>11</w:t>
      </w:r>
      <w:r w:rsidRPr="00E0359C">
        <w:t>–</w:t>
      </w:r>
      <w:r w:rsidRPr="00E0359C">
        <w:rPr>
          <w:rStyle w:val="Strong"/>
          <w:rFonts w:cstheme="minorHAnsi"/>
          <w:b w:val="0"/>
          <w:szCs w:val="22"/>
          <w:bdr w:val="none" w:sz="0" w:space="0" w:color="auto" w:frame="1"/>
        </w:rPr>
        <w:t>32.</w:t>
      </w:r>
    </w:p>
    <w:p w14:paraId="1F4505FB" w14:textId="77777777" w:rsidR="00C9778C" w:rsidRPr="00E0359C" w:rsidRDefault="00C9778C" w:rsidP="00C9778C">
      <w:pPr>
        <w:spacing w:after="120"/>
        <w:ind w:left="567" w:hanging="567"/>
        <w:rPr>
          <w:rStyle w:val="Strong"/>
          <w:rFonts w:cstheme="minorHAnsi"/>
          <w:bCs w:val="0"/>
          <w:szCs w:val="22"/>
        </w:rPr>
      </w:pPr>
      <w:proofErr w:type="spellStart"/>
      <w:r w:rsidRPr="00E0359C">
        <w:rPr>
          <w:rStyle w:val="a-size-large"/>
          <w:rFonts w:cstheme="minorHAnsi"/>
          <w:szCs w:val="22"/>
        </w:rPr>
        <w:t>d’Agnese</w:t>
      </w:r>
      <w:proofErr w:type="spellEnd"/>
      <w:r w:rsidRPr="00E0359C">
        <w:rPr>
          <w:rStyle w:val="a-size-large"/>
          <w:rFonts w:cstheme="minorHAnsi"/>
          <w:szCs w:val="22"/>
        </w:rPr>
        <w:t>, Vasco. (2018b)</w:t>
      </w:r>
      <w:r w:rsidRPr="00E0359C">
        <w:rPr>
          <w:rStyle w:val="a-size-large"/>
          <w:rFonts w:cstheme="minorHAnsi"/>
          <w:i/>
          <w:szCs w:val="22"/>
        </w:rPr>
        <w:t>. Reclaiming education in the age of PISA: Challenging OECD’s educational order.</w:t>
      </w:r>
      <w:r w:rsidRPr="00E0359C">
        <w:rPr>
          <w:rStyle w:val="a-size-large"/>
          <w:rFonts w:cstheme="minorHAnsi"/>
          <w:szCs w:val="22"/>
        </w:rPr>
        <w:t xml:space="preserve"> Abingdon: Routledge.</w:t>
      </w:r>
    </w:p>
    <w:p w14:paraId="36033D29" w14:textId="77777777" w:rsidR="00C9778C" w:rsidRPr="00E0359C" w:rsidRDefault="00C9778C" w:rsidP="00C9778C">
      <w:pPr>
        <w:spacing w:after="120"/>
        <w:ind w:left="567" w:hanging="567"/>
      </w:pPr>
      <w:r w:rsidRPr="00E0359C">
        <w:t xml:space="preserve">Decimo, Francesca and Alessandra </w:t>
      </w:r>
      <w:proofErr w:type="spellStart"/>
      <w:r w:rsidRPr="00E0359C">
        <w:t>Gribaldo</w:t>
      </w:r>
      <w:proofErr w:type="spellEnd"/>
      <w:r w:rsidRPr="00E0359C">
        <w:t xml:space="preserve">. (2017). Nation, migration and kinship through identity categorization. In Francesca Decimo and Alessandra </w:t>
      </w:r>
      <w:proofErr w:type="spellStart"/>
      <w:r w:rsidRPr="00E0359C">
        <w:t>Gribaldo</w:t>
      </w:r>
      <w:proofErr w:type="spellEnd"/>
      <w:r w:rsidRPr="00E0359C">
        <w:t xml:space="preserve"> (Eds.),</w:t>
      </w:r>
      <w:r w:rsidRPr="00E0359C">
        <w:rPr>
          <w:i/>
        </w:rPr>
        <w:t xml:space="preserve"> Boundaries within: Nation, kinship and identity among migrants and minorities, </w:t>
      </w:r>
      <w:r w:rsidRPr="00E0359C">
        <w:rPr>
          <w:iCs/>
        </w:rPr>
        <w:t>pp.</w:t>
      </w:r>
      <w:r w:rsidRPr="00E0359C">
        <w:rPr>
          <w:i/>
        </w:rPr>
        <w:t xml:space="preserve"> </w:t>
      </w:r>
      <w:r w:rsidRPr="00E0359C">
        <w:t xml:space="preserve">3–21. Cham: Springer. </w:t>
      </w:r>
    </w:p>
    <w:p w14:paraId="354E129B" w14:textId="3FEB3127" w:rsidR="00C9778C" w:rsidRPr="00E0359C" w:rsidRDefault="00C9778C" w:rsidP="00C9778C">
      <w:pPr>
        <w:spacing w:after="120"/>
        <w:ind w:left="567" w:hanging="567"/>
      </w:pPr>
      <w:r w:rsidRPr="00E0359C">
        <w:t>DfE [Department for Education, UK, England]. (2015</w:t>
      </w:r>
      <w:r w:rsidR="000C18A4">
        <w:t>a</w:t>
      </w:r>
      <w:r w:rsidRPr="00E0359C">
        <w:t xml:space="preserve">). </w:t>
      </w:r>
      <w:r w:rsidRPr="00E0359C">
        <w:rPr>
          <w:i/>
        </w:rPr>
        <w:t>Reading: the next steps: Supporting higher standards in schools</w:t>
      </w:r>
      <w:r w:rsidRPr="00E0359C">
        <w:t xml:space="preserve"> [DFE-00094-2015]. March 2015. London: Department for Education. </w:t>
      </w:r>
    </w:p>
    <w:p w14:paraId="365ADB2D" w14:textId="77777777" w:rsidR="005D4CC1" w:rsidRPr="00E0359C" w:rsidRDefault="005D4CC1" w:rsidP="005D4CC1">
      <w:pPr>
        <w:spacing w:after="120"/>
        <w:ind w:left="567" w:hanging="567"/>
      </w:pPr>
      <w:r w:rsidRPr="00E0359C">
        <w:rPr>
          <w:spacing w:val="4"/>
          <w:shd w:val="clear" w:color="auto" w:fill="FCFCFC"/>
        </w:rPr>
        <w:t>Duke, Chris. (2016). “Critical friend commentary” on Geoff Layer, ‘Influencing change through a strategic approach to student attainment’. In</w:t>
      </w:r>
      <w:r w:rsidRPr="00E0359C">
        <w:rPr>
          <w:i/>
          <w:spacing w:val="4"/>
          <w:shd w:val="clear" w:color="auto" w:fill="FCFCFC"/>
        </w:rPr>
        <w:t xml:space="preserve"> </w:t>
      </w:r>
      <w:r w:rsidRPr="00E0359C">
        <w:rPr>
          <w:rStyle w:val="product-banner-author-name"/>
          <w:rFonts w:cstheme="minorHAnsi"/>
          <w:iCs/>
          <w:szCs w:val="22"/>
        </w:rPr>
        <w:t xml:space="preserve">Graham </w:t>
      </w:r>
      <w:proofErr w:type="spellStart"/>
      <w:r w:rsidRPr="00E0359C">
        <w:rPr>
          <w:rStyle w:val="product-banner-author-name"/>
          <w:rFonts w:cstheme="minorHAnsi"/>
          <w:iCs/>
          <w:szCs w:val="22"/>
        </w:rPr>
        <w:t>Steventon</w:t>
      </w:r>
      <w:proofErr w:type="spellEnd"/>
      <w:r w:rsidRPr="00E0359C">
        <w:rPr>
          <w:rStyle w:val="product-banner-author-name"/>
          <w:rFonts w:cstheme="minorHAnsi"/>
          <w:iCs/>
          <w:szCs w:val="22"/>
        </w:rPr>
        <w:t xml:space="preserve">, Debra Cureton and Lynn </w:t>
      </w:r>
      <w:proofErr w:type="spellStart"/>
      <w:r w:rsidRPr="00E0359C">
        <w:rPr>
          <w:rStyle w:val="product-banner-author-name"/>
          <w:rFonts w:cstheme="minorHAnsi"/>
          <w:iCs/>
          <w:szCs w:val="22"/>
        </w:rPr>
        <w:t>Clouder</w:t>
      </w:r>
      <w:proofErr w:type="spellEnd"/>
      <w:r w:rsidRPr="00E0359C">
        <w:rPr>
          <w:rStyle w:val="product-banner-author-name"/>
          <w:rFonts w:cstheme="minorHAnsi"/>
          <w:iCs/>
          <w:szCs w:val="22"/>
        </w:rPr>
        <w:t xml:space="preserve"> (Eds.),</w:t>
      </w:r>
      <w:r w:rsidRPr="00E0359C">
        <w:rPr>
          <w:rStyle w:val="product-banner-author-name"/>
          <w:rFonts w:cstheme="minorHAnsi"/>
          <w:i/>
          <w:iCs/>
          <w:szCs w:val="22"/>
        </w:rPr>
        <w:t xml:space="preserve"> Student attainment in higher education: Issues, controversies and debates, </w:t>
      </w:r>
      <w:r w:rsidRPr="00E0359C">
        <w:rPr>
          <w:rStyle w:val="product-banner-author-name"/>
          <w:rFonts w:cstheme="minorHAnsi"/>
          <w:iCs/>
          <w:szCs w:val="22"/>
        </w:rPr>
        <w:t>p. 5.</w:t>
      </w:r>
      <w:r w:rsidRPr="00E0359C">
        <w:rPr>
          <w:rStyle w:val="product-banner-author-name"/>
          <w:rFonts w:cstheme="minorHAnsi"/>
          <w:i/>
          <w:iCs/>
          <w:szCs w:val="22"/>
        </w:rPr>
        <w:t xml:space="preserve"> </w:t>
      </w:r>
      <w:r w:rsidRPr="00E0359C">
        <w:rPr>
          <w:rStyle w:val="product-banner-author-name"/>
          <w:rFonts w:cstheme="minorHAnsi"/>
          <w:iCs/>
          <w:szCs w:val="22"/>
        </w:rPr>
        <w:t xml:space="preserve">London: </w:t>
      </w:r>
      <w:r w:rsidRPr="00E0359C">
        <w:t>Routledge.</w:t>
      </w:r>
    </w:p>
    <w:p w14:paraId="3B3AE651" w14:textId="422E32ED" w:rsidR="00C9778C" w:rsidRPr="00E0359C" w:rsidRDefault="00C9778C" w:rsidP="00C9778C">
      <w:pPr>
        <w:spacing w:after="120"/>
        <w:ind w:left="567" w:hanging="567"/>
      </w:pPr>
      <w:r w:rsidRPr="00E0359C">
        <w:t xml:space="preserve">European Commission. (2007). </w:t>
      </w:r>
      <w:r w:rsidRPr="00E0359C">
        <w:rPr>
          <w:i/>
        </w:rPr>
        <w:t xml:space="preserve">Towards a more knowledge-based policy and practice in education and training </w:t>
      </w:r>
      <w:r w:rsidRPr="00E0359C">
        <w:rPr>
          <w:iCs/>
        </w:rPr>
        <w:t>[S</w:t>
      </w:r>
      <w:r w:rsidRPr="00E0359C">
        <w:t>EC(2007) 1098;</w:t>
      </w:r>
      <w:r w:rsidR="008F6B15" w:rsidRPr="00E0359C">
        <w:t xml:space="preserve"> </w:t>
      </w:r>
      <w:r w:rsidRPr="00E0359C">
        <w:t xml:space="preserve">Commission Staff Working Document]. Brussels: European Commission. </w:t>
      </w:r>
    </w:p>
    <w:p w14:paraId="5DA28917" w14:textId="77777777" w:rsidR="00C9778C" w:rsidRPr="00E0359C" w:rsidRDefault="00C9778C" w:rsidP="00C9778C">
      <w:pPr>
        <w:spacing w:after="120"/>
        <w:ind w:left="567" w:hanging="567"/>
        <w:rPr>
          <w:bCs/>
          <w:color w:val="000000"/>
        </w:rPr>
      </w:pPr>
      <w:r w:rsidRPr="00E0359C">
        <w:t xml:space="preserve">European Union. (2000). </w:t>
      </w:r>
      <w:r w:rsidRPr="00E0359C">
        <w:rPr>
          <w:bCs/>
          <w:i/>
          <w:color w:val="000000"/>
        </w:rPr>
        <w:t>Presidency conclusions, Lisbon European Council</w:t>
      </w:r>
      <w:r w:rsidRPr="00E0359C">
        <w:rPr>
          <w:bCs/>
          <w:color w:val="000000"/>
        </w:rPr>
        <w:t>, 23</w:t>
      </w:r>
      <w:r w:rsidRPr="00E0359C">
        <w:t>–</w:t>
      </w:r>
      <w:r w:rsidRPr="00E0359C">
        <w:rPr>
          <w:bCs/>
          <w:color w:val="000000"/>
        </w:rPr>
        <w:t xml:space="preserve">24 March. Brussels: European Union. </w:t>
      </w:r>
    </w:p>
    <w:p w14:paraId="3F56D860" w14:textId="77777777" w:rsidR="00FF46DC" w:rsidRPr="00E0359C" w:rsidRDefault="00FF46DC" w:rsidP="00FF46DC">
      <w:pPr>
        <w:spacing w:after="120"/>
        <w:ind w:left="567" w:hanging="567"/>
      </w:pPr>
      <w:r w:rsidRPr="00E0359C">
        <w:t xml:space="preserve">Foucault, Michel. (1977 [1975]). </w:t>
      </w:r>
      <w:r w:rsidRPr="00E0359C">
        <w:rPr>
          <w:i/>
        </w:rPr>
        <w:t xml:space="preserve">Discipline and punish: The birth of the modern prison. </w:t>
      </w:r>
      <w:r w:rsidRPr="00E0359C">
        <w:t xml:space="preserve"> New York NY: Vintage. [Translated by Alan Sheridan from Michel Foucault. (1975). </w:t>
      </w:r>
      <w:proofErr w:type="spellStart"/>
      <w:r w:rsidRPr="00E0359C">
        <w:rPr>
          <w:i/>
          <w:iCs/>
          <w:shd w:val="clear" w:color="auto" w:fill="FFFFFF"/>
        </w:rPr>
        <w:t>Surveiller</w:t>
      </w:r>
      <w:proofErr w:type="spellEnd"/>
      <w:r w:rsidRPr="00E0359C">
        <w:rPr>
          <w:i/>
          <w:iCs/>
          <w:shd w:val="clear" w:color="auto" w:fill="FFFFFF"/>
        </w:rPr>
        <w:t xml:space="preserve"> et </w:t>
      </w:r>
      <w:proofErr w:type="spellStart"/>
      <w:r w:rsidRPr="00E0359C">
        <w:rPr>
          <w:i/>
          <w:iCs/>
          <w:shd w:val="clear" w:color="auto" w:fill="FFFFFF"/>
        </w:rPr>
        <w:t>punir</w:t>
      </w:r>
      <w:proofErr w:type="spellEnd"/>
      <w:r w:rsidRPr="00E0359C">
        <w:rPr>
          <w:i/>
          <w:iCs/>
          <w:shd w:val="clear" w:color="auto" w:fill="FFFFFF"/>
        </w:rPr>
        <w:t>: Naissance de la prison.</w:t>
      </w:r>
      <w:r w:rsidRPr="00E0359C">
        <w:rPr>
          <w:shd w:val="clear" w:color="auto" w:fill="FFFFFF"/>
        </w:rPr>
        <w:t xml:space="preserve"> Paris: Gallimard]</w:t>
      </w:r>
      <w:r w:rsidRPr="00E0359C">
        <w:t xml:space="preserve">. </w:t>
      </w:r>
    </w:p>
    <w:p w14:paraId="6C5A843C" w14:textId="77777777" w:rsidR="005D4CC1" w:rsidRPr="00E0359C" w:rsidRDefault="005D4CC1" w:rsidP="005D4CC1">
      <w:pPr>
        <w:spacing w:after="120"/>
        <w:ind w:left="567" w:hanging="567"/>
      </w:pPr>
      <w:r w:rsidRPr="00E0359C">
        <w:t xml:space="preserve">Fox, Alan. (1956). Class and equality. </w:t>
      </w:r>
      <w:r w:rsidRPr="00E0359C">
        <w:rPr>
          <w:i/>
        </w:rPr>
        <w:t>Socialist Commentary,</w:t>
      </w:r>
      <w:r w:rsidRPr="00E0359C">
        <w:t xml:space="preserve"> May, 11</w:t>
      </w:r>
      <w:r w:rsidRPr="00E0359C">
        <w:rPr>
          <w:rFonts w:ascii="Calibri" w:hAnsi="Calibri" w:cs="Calibri"/>
          <w:szCs w:val="22"/>
        </w:rPr>
        <w:t>–</w:t>
      </w:r>
      <w:r w:rsidRPr="00E0359C">
        <w:t>13.</w:t>
      </w:r>
    </w:p>
    <w:p w14:paraId="77A7E504" w14:textId="77777777" w:rsidR="00BB5921" w:rsidRPr="00E0359C" w:rsidRDefault="00BB5921" w:rsidP="00BB5921">
      <w:pPr>
        <w:spacing w:after="120"/>
        <w:ind w:left="567" w:hanging="567"/>
      </w:pPr>
      <w:r w:rsidRPr="00E0359C">
        <w:t xml:space="preserve">Francis, Becky. (2011). Increasing impact? An analysis of issues raised by the impact agenda in educational research. </w:t>
      </w:r>
      <w:r w:rsidRPr="00E0359C">
        <w:rPr>
          <w:i/>
        </w:rPr>
        <w:t>Scottish Educational Review,</w:t>
      </w:r>
      <w:r w:rsidRPr="00E0359C">
        <w:t xml:space="preserve"> </w:t>
      </w:r>
      <w:r w:rsidRPr="00E0359C">
        <w:rPr>
          <w:i/>
          <w:iCs/>
        </w:rPr>
        <w:t>43</w:t>
      </w:r>
      <w:r w:rsidRPr="00E0359C">
        <w:t>(2), 4–16.</w:t>
      </w:r>
    </w:p>
    <w:p w14:paraId="678FF27C" w14:textId="77777777" w:rsidR="005D4CC1" w:rsidRPr="00E0359C" w:rsidRDefault="005D4CC1" w:rsidP="005D4CC1">
      <w:pPr>
        <w:spacing w:after="120"/>
        <w:ind w:left="567" w:hanging="567"/>
        <w:rPr>
          <w:shd w:val="clear" w:color="auto" w:fill="FFFFFF"/>
        </w:rPr>
      </w:pPr>
      <w:r w:rsidRPr="00E0359C">
        <w:rPr>
          <w:shd w:val="clear" w:color="auto" w:fill="FFFFFF"/>
        </w:rPr>
        <w:t xml:space="preserve">Francis, Becky and Martin Mills. (2012). What would a socially just education system look like? </w:t>
      </w:r>
      <w:r w:rsidRPr="00E0359C">
        <w:rPr>
          <w:i/>
          <w:shd w:val="clear" w:color="auto" w:fill="FFFFFF"/>
        </w:rPr>
        <w:t>Journal of Education Policy,</w:t>
      </w:r>
      <w:r w:rsidRPr="00E0359C">
        <w:rPr>
          <w:shd w:val="clear" w:color="auto" w:fill="FFFFFF"/>
        </w:rPr>
        <w:t xml:space="preserve"> </w:t>
      </w:r>
      <w:r w:rsidRPr="00E0359C">
        <w:rPr>
          <w:i/>
          <w:iCs/>
          <w:shd w:val="clear" w:color="auto" w:fill="FFFFFF"/>
        </w:rPr>
        <w:t>27</w:t>
      </w:r>
      <w:r w:rsidRPr="00E0359C">
        <w:rPr>
          <w:shd w:val="clear" w:color="auto" w:fill="FFFFFF"/>
        </w:rPr>
        <w:t>(5), 577</w:t>
      </w:r>
      <w:r w:rsidRPr="00E0359C">
        <w:rPr>
          <w:rFonts w:ascii="Calibri" w:hAnsi="Calibri" w:cs="Calibri"/>
          <w:szCs w:val="22"/>
        </w:rPr>
        <w:t>–</w:t>
      </w:r>
      <w:r w:rsidRPr="00E0359C">
        <w:rPr>
          <w:shd w:val="clear" w:color="auto" w:fill="FFFFFF"/>
        </w:rPr>
        <w:t>585.</w:t>
      </w:r>
    </w:p>
    <w:p w14:paraId="23BF3EAC" w14:textId="793E8A98" w:rsidR="00C9778C" w:rsidRPr="00E0359C" w:rsidRDefault="00C9778C" w:rsidP="00C9778C">
      <w:pPr>
        <w:spacing w:after="120"/>
        <w:ind w:left="567" w:hanging="567"/>
      </w:pPr>
      <w:proofErr w:type="spellStart"/>
      <w:r w:rsidRPr="00E0359C">
        <w:rPr>
          <w:bCs/>
          <w:iCs/>
        </w:rPr>
        <w:t>Fretwell</w:t>
      </w:r>
      <w:proofErr w:type="spellEnd"/>
      <w:r w:rsidRPr="00E0359C">
        <w:rPr>
          <w:bCs/>
          <w:iCs/>
        </w:rPr>
        <w:t>, Nathan</w:t>
      </w:r>
      <w:r w:rsidRPr="00E0359C">
        <w:rPr>
          <w:bCs/>
          <w:i/>
        </w:rPr>
        <w:t>.</w:t>
      </w:r>
      <w:r w:rsidRPr="00E0359C">
        <w:rPr>
          <w:bCs/>
        </w:rPr>
        <w:t xml:space="preserve">(2020). Between home and school: Mobilising ‘hard to reach’ </w:t>
      </w:r>
      <w:r w:rsidR="00984028" w:rsidRPr="00E0359C">
        <w:rPr>
          <w:bCs/>
        </w:rPr>
        <w:t>W</w:t>
      </w:r>
      <w:r w:rsidRPr="00E0359C">
        <w:rPr>
          <w:bCs/>
        </w:rPr>
        <w:t>hite British parents to engage with their children’s education.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43F280B3" w14:textId="1343640C" w:rsidR="005D4CC1" w:rsidRPr="00E0359C" w:rsidRDefault="005D4CC1" w:rsidP="005D4CC1">
      <w:pPr>
        <w:spacing w:after="120"/>
        <w:ind w:left="567" w:hanging="567"/>
      </w:pPr>
      <w:r w:rsidRPr="00E0359C">
        <w:rPr>
          <w:color w:val="222222"/>
        </w:rPr>
        <w:t>Gewirtz, Sharon. (1998</w:t>
      </w:r>
      <w:r w:rsidRPr="00E0359C">
        <w:t xml:space="preserve">). Conceptualizing social justice in education: Mapping the territory. </w:t>
      </w:r>
      <w:r w:rsidRPr="00E0359C">
        <w:rPr>
          <w:i/>
          <w:iCs/>
        </w:rPr>
        <w:t>Journal of Education Policy, 13</w:t>
      </w:r>
      <w:r w:rsidRPr="00E0359C">
        <w:t>(4), 469</w:t>
      </w:r>
      <w:r w:rsidRPr="00E0359C">
        <w:rPr>
          <w:rFonts w:ascii="Calibri" w:hAnsi="Calibri" w:cs="Calibri"/>
          <w:szCs w:val="22"/>
        </w:rPr>
        <w:t>–</w:t>
      </w:r>
      <w:r w:rsidRPr="00E0359C">
        <w:t>484.</w:t>
      </w:r>
    </w:p>
    <w:p w14:paraId="3678FF37" w14:textId="628ED6FC" w:rsidR="00C9778C" w:rsidRPr="00E0359C" w:rsidRDefault="00C9778C" w:rsidP="00C9778C">
      <w:pPr>
        <w:spacing w:after="120"/>
        <w:ind w:left="567" w:hanging="567"/>
      </w:pPr>
      <w:r w:rsidRPr="00E0359C">
        <w:lastRenderedPageBreak/>
        <w:t>Gibb, Nick. (2015</w:t>
      </w:r>
      <w:r w:rsidR="00D1369D">
        <w:t>a</w:t>
      </w:r>
      <w:r w:rsidRPr="00E0359C">
        <w:t xml:space="preserve">). </w:t>
      </w:r>
      <w:r w:rsidRPr="00E0359C">
        <w:rPr>
          <w:bCs/>
          <w:kern w:val="36"/>
        </w:rPr>
        <w:t>The purpose of education. Address to</w:t>
      </w:r>
      <w:r w:rsidRPr="00E0359C">
        <w:t xml:space="preserve"> the Education Reform Summit, 9 July. Retrieved from </w:t>
      </w:r>
      <w:r w:rsidRPr="00E0359C">
        <w:rPr>
          <w:bCs/>
          <w:kern w:val="36"/>
        </w:rPr>
        <w:t>https://www.gov.uk/government/speeches/the-purpose-of-education</w:t>
      </w:r>
    </w:p>
    <w:p w14:paraId="5AE3B220" w14:textId="77777777" w:rsidR="00C9778C" w:rsidRPr="00E0359C" w:rsidRDefault="00C9778C" w:rsidP="00C9778C">
      <w:pPr>
        <w:spacing w:after="120"/>
        <w:ind w:left="567" w:hanging="567"/>
      </w:pPr>
      <w:r w:rsidRPr="00E0359C">
        <w:t xml:space="preserve">Gini, </w:t>
      </w:r>
      <w:proofErr w:type="spellStart"/>
      <w:r w:rsidRPr="00E0359C">
        <w:t>Corrado</w:t>
      </w:r>
      <w:proofErr w:type="spellEnd"/>
      <w:r w:rsidRPr="00E0359C">
        <w:t xml:space="preserve">. (1911). </w:t>
      </w:r>
      <w:proofErr w:type="spellStart"/>
      <w:r w:rsidRPr="00E0359C">
        <w:t>Variabilità</w:t>
      </w:r>
      <w:proofErr w:type="spellEnd"/>
      <w:r w:rsidRPr="00E0359C">
        <w:t xml:space="preserve"> e </w:t>
      </w:r>
      <w:proofErr w:type="spellStart"/>
      <w:r w:rsidRPr="00E0359C">
        <w:t>mutabilità</w:t>
      </w:r>
      <w:proofErr w:type="spellEnd"/>
      <w:r w:rsidRPr="00E0359C">
        <w:t xml:space="preserve">: </w:t>
      </w:r>
      <w:proofErr w:type="spellStart"/>
      <w:r w:rsidRPr="00E0359C">
        <w:t>Contributo</w:t>
      </w:r>
      <w:proofErr w:type="spellEnd"/>
      <w:r w:rsidRPr="00E0359C">
        <w:t xml:space="preserve"> </w:t>
      </w:r>
      <w:proofErr w:type="spellStart"/>
      <w:r w:rsidRPr="00E0359C">
        <w:t>allo</w:t>
      </w:r>
      <w:proofErr w:type="spellEnd"/>
      <w:r w:rsidRPr="00E0359C">
        <w:t xml:space="preserve"> studio </w:t>
      </w:r>
      <w:proofErr w:type="spellStart"/>
      <w:r w:rsidRPr="00E0359C">
        <w:t>delle</w:t>
      </w:r>
      <w:proofErr w:type="spellEnd"/>
      <w:r w:rsidRPr="00E0359C">
        <w:t xml:space="preserve"> </w:t>
      </w:r>
      <w:proofErr w:type="spellStart"/>
      <w:r w:rsidRPr="00E0359C">
        <w:t>distribuzioni</w:t>
      </w:r>
      <w:proofErr w:type="spellEnd"/>
      <w:r w:rsidRPr="00E0359C">
        <w:t xml:space="preserve"> e </w:t>
      </w:r>
      <w:proofErr w:type="spellStart"/>
      <w:r w:rsidRPr="00E0359C">
        <w:t>delle</w:t>
      </w:r>
      <w:proofErr w:type="spellEnd"/>
      <w:r w:rsidRPr="00E0359C">
        <w:t xml:space="preserve"> </w:t>
      </w:r>
      <w:proofErr w:type="spellStart"/>
      <w:r w:rsidRPr="00E0359C">
        <w:t>relazioni</w:t>
      </w:r>
      <w:proofErr w:type="spellEnd"/>
      <w:r w:rsidRPr="00E0359C">
        <w:t xml:space="preserve"> </w:t>
      </w:r>
      <w:proofErr w:type="spellStart"/>
      <w:r w:rsidRPr="00E0359C">
        <w:t>statistiche</w:t>
      </w:r>
      <w:proofErr w:type="spellEnd"/>
      <w:r w:rsidRPr="00E0359C">
        <w:t xml:space="preserve">. </w:t>
      </w:r>
      <w:proofErr w:type="spellStart"/>
      <w:r w:rsidRPr="00E0359C">
        <w:rPr>
          <w:i/>
          <w:iCs/>
        </w:rPr>
        <w:t>Studi</w:t>
      </w:r>
      <w:proofErr w:type="spellEnd"/>
      <w:r w:rsidRPr="00E0359C">
        <w:rPr>
          <w:i/>
          <w:iCs/>
        </w:rPr>
        <w:t xml:space="preserve"> </w:t>
      </w:r>
      <w:proofErr w:type="spellStart"/>
      <w:r w:rsidRPr="00E0359C">
        <w:rPr>
          <w:i/>
          <w:iCs/>
        </w:rPr>
        <w:t>Economico-Giuridici</w:t>
      </w:r>
      <w:proofErr w:type="spellEnd"/>
      <w:r w:rsidRPr="00E0359C">
        <w:rPr>
          <w:i/>
          <w:iCs/>
        </w:rPr>
        <w:t xml:space="preserve"> </w:t>
      </w:r>
      <w:proofErr w:type="spellStart"/>
      <w:r w:rsidRPr="00E0359C">
        <w:rPr>
          <w:i/>
          <w:iCs/>
        </w:rPr>
        <w:t>della</w:t>
      </w:r>
      <w:proofErr w:type="spellEnd"/>
      <w:r w:rsidRPr="00E0359C">
        <w:rPr>
          <w:i/>
          <w:iCs/>
        </w:rPr>
        <w:t xml:space="preserve"> </w:t>
      </w:r>
      <w:proofErr w:type="spellStart"/>
      <w:r w:rsidRPr="00E0359C">
        <w:rPr>
          <w:i/>
          <w:iCs/>
        </w:rPr>
        <w:t>Facoltà</w:t>
      </w:r>
      <w:proofErr w:type="spellEnd"/>
      <w:r w:rsidRPr="00E0359C">
        <w:rPr>
          <w:i/>
          <w:iCs/>
        </w:rPr>
        <w:t xml:space="preserve"> di </w:t>
      </w:r>
      <w:proofErr w:type="spellStart"/>
      <w:r w:rsidRPr="00E0359C">
        <w:rPr>
          <w:i/>
          <w:iCs/>
        </w:rPr>
        <w:t>Giurisprudenza</w:t>
      </w:r>
      <w:proofErr w:type="spellEnd"/>
      <w:r w:rsidRPr="00E0359C">
        <w:rPr>
          <w:i/>
          <w:iCs/>
        </w:rPr>
        <w:t xml:space="preserve"> </w:t>
      </w:r>
      <w:proofErr w:type="spellStart"/>
      <w:r w:rsidRPr="00E0359C">
        <w:rPr>
          <w:i/>
          <w:iCs/>
        </w:rPr>
        <w:t>della</w:t>
      </w:r>
      <w:proofErr w:type="spellEnd"/>
      <w:r w:rsidRPr="00E0359C">
        <w:rPr>
          <w:i/>
          <w:iCs/>
        </w:rPr>
        <w:t xml:space="preserve"> Regia </w:t>
      </w:r>
      <w:proofErr w:type="spellStart"/>
      <w:r w:rsidRPr="00E0359C">
        <w:rPr>
          <w:i/>
          <w:iCs/>
        </w:rPr>
        <w:t>Università</w:t>
      </w:r>
      <w:proofErr w:type="spellEnd"/>
      <w:r w:rsidRPr="00E0359C">
        <w:rPr>
          <w:i/>
          <w:iCs/>
        </w:rPr>
        <w:t xml:space="preserve"> di Cagliari, 3</w:t>
      </w:r>
      <w:r w:rsidRPr="00E0359C">
        <w:t xml:space="preserve">(2), 1–157. </w:t>
      </w:r>
    </w:p>
    <w:p w14:paraId="29A5A293" w14:textId="77777777" w:rsidR="005D4CC1" w:rsidRPr="00E0359C" w:rsidRDefault="005D4CC1" w:rsidP="005D4CC1">
      <w:pPr>
        <w:spacing w:after="120"/>
        <w:ind w:left="567" w:hanging="567"/>
      </w:pPr>
      <w:r w:rsidRPr="00E0359C">
        <w:t xml:space="preserve">Gini, </w:t>
      </w:r>
      <w:proofErr w:type="spellStart"/>
      <w:r w:rsidRPr="00E0359C">
        <w:t>Corrado</w:t>
      </w:r>
      <w:proofErr w:type="spellEnd"/>
      <w:r w:rsidRPr="00E0359C">
        <w:t xml:space="preserve">. (1936). On the measure of concentration with special reference to income and statistics. </w:t>
      </w:r>
      <w:r w:rsidRPr="00E0359C">
        <w:rPr>
          <w:i/>
        </w:rPr>
        <w:t xml:space="preserve">Colorado College Publication, General Series, 208, </w:t>
      </w:r>
      <w:r w:rsidRPr="00E0359C">
        <w:t>73</w:t>
      </w:r>
      <w:r w:rsidRPr="00E0359C">
        <w:rPr>
          <w:rFonts w:ascii="Calibri" w:hAnsi="Calibri" w:cs="Calibri"/>
          <w:szCs w:val="22"/>
        </w:rPr>
        <w:t>–</w:t>
      </w:r>
      <w:r w:rsidRPr="00E0359C">
        <w:t xml:space="preserve">79. </w:t>
      </w:r>
    </w:p>
    <w:p w14:paraId="58554A70" w14:textId="77777777" w:rsidR="00C9778C" w:rsidRPr="00E0359C" w:rsidRDefault="00C9778C" w:rsidP="00C9778C">
      <w:pPr>
        <w:spacing w:after="120"/>
        <w:ind w:left="567" w:hanging="567"/>
      </w:pPr>
      <w:r w:rsidRPr="00E0359C">
        <w:t xml:space="preserve">Gosling, Samuel, </w:t>
      </w:r>
      <w:proofErr w:type="spellStart"/>
      <w:r w:rsidRPr="00E0359C">
        <w:t>Simine</w:t>
      </w:r>
      <w:proofErr w:type="spellEnd"/>
      <w:r w:rsidRPr="00E0359C">
        <w:t xml:space="preserve"> </w:t>
      </w:r>
      <w:proofErr w:type="spellStart"/>
      <w:r w:rsidRPr="00E0359C">
        <w:t>Vazire</w:t>
      </w:r>
      <w:proofErr w:type="spellEnd"/>
      <w:r w:rsidRPr="00E0359C">
        <w:t xml:space="preserve">, Sanjay Srivastava and Oliver John. (2004). Should we trust web-based studies? A comparative analysis of six preconceptions about internet questionnaires. </w:t>
      </w:r>
      <w:r w:rsidRPr="00E0359C">
        <w:rPr>
          <w:i/>
        </w:rPr>
        <w:t>American Psychologist,</w:t>
      </w:r>
      <w:r w:rsidRPr="00E0359C">
        <w:rPr>
          <w:i/>
          <w:iCs/>
        </w:rPr>
        <w:t xml:space="preserve"> 59</w:t>
      </w:r>
      <w:r w:rsidRPr="00E0359C">
        <w:t>(2), 93–104.</w:t>
      </w:r>
    </w:p>
    <w:p w14:paraId="5B159A41" w14:textId="77777777" w:rsidR="00C9778C" w:rsidRPr="00E0359C" w:rsidRDefault="00C9778C" w:rsidP="00C9778C">
      <w:pPr>
        <w:spacing w:after="120"/>
        <w:ind w:left="567" w:hanging="567"/>
      </w:pPr>
      <w:proofErr w:type="spellStart"/>
      <w:r w:rsidRPr="00E0359C">
        <w:t>Grek</w:t>
      </w:r>
      <w:proofErr w:type="spellEnd"/>
      <w:r w:rsidRPr="00E0359C">
        <w:t xml:space="preserve">, </w:t>
      </w:r>
      <w:proofErr w:type="spellStart"/>
      <w:r w:rsidRPr="00E0359C">
        <w:t>Sotiria</w:t>
      </w:r>
      <w:proofErr w:type="spellEnd"/>
      <w:r w:rsidRPr="00E0359C">
        <w:t xml:space="preserve">. (2009). Governing by numbers: The PISA ‘effect’ in Europe. </w:t>
      </w:r>
      <w:r w:rsidRPr="00E0359C">
        <w:rPr>
          <w:i/>
        </w:rPr>
        <w:t>Journal of Education Policy,</w:t>
      </w:r>
      <w:r w:rsidRPr="00E0359C">
        <w:t xml:space="preserve"> </w:t>
      </w:r>
      <w:r w:rsidRPr="00E0359C">
        <w:rPr>
          <w:i/>
          <w:iCs/>
        </w:rPr>
        <w:t>24</w:t>
      </w:r>
      <w:r w:rsidRPr="00E0359C">
        <w:t xml:space="preserve">(1), 23–37. </w:t>
      </w:r>
    </w:p>
    <w:p w14:paraId="66CB9B35" w14:textId="77777777" w:rsidR="00C9778C" w:rsidRPr="00E0359C" w:rsidRDefault="00C9778C" w:rsidP="00C9778C">
      <w:pPr>
        <w:spacing w:after="120"/>
        <w:ind w:left="567" w:hanging="567"/>
      </w:pPr>
      <w:r w:rsidRPr="00E0359C">
        <w:rPr>
          <w:rStyle w:val="addmd"/>
          <w:rFonts w:cstheme="minorHAnsi"/>
          <w:color w:val="333333"/>
          <w:szCs w:val="22"/>
          <w:shd w:val="clear" w:color="auto" w:fill="FFFFFF"/>
        </w:rPr>
        <w:t xml:space="preserve">Griffiths, Morwenna. (Ed.). (2003). </w:t>
      </w:r>
      <w:r w:rsidRPr="00E0359C">
        <w:rPr>
          <w:i/>
          <w:iCs/>
          <w:color w:val="333333"/>
        </w:rPr>
        <w:t>Action for social justice in education: Fairly different</w:t>
      </w:r>
      <w:r w:rsidRPr="00E0359C">
        <w:rPr>
          <w:color w:val="333333"/>
        </w:rPr>
        <w:t xml:space="preserve">. Maidenhead: Open University Press. </w:t>
      </w:r>
    </w:p>
    <w:p w14:paraId="2C0E3A2A" w14:textId="77777777" w:rsidR="00C9778C" w:rsidRPr="00E0359C" w:rsidRDefault="00C9778C" w:rsidP="00C9778C">
      <w:pPr>
        <w:spacing w:after="120"/>
        <w:ind w:left="567" w:hanging="567"/>
      </w:pPr>
      <w:r w:rsidRPr="00E0359C">
        <w:t xml:space="preserve">Griffiths, Morwenna. (2012). Why joy in education is an issue for socially just policies. </w:t>
      </w:r>
      <w:r w:rsidRPr="00E0359C">
        <w:rPr>
          <w:i/>
        </w:rPr>
        <w:t>Journal of Education Policy,</w:t>
      </w:r>
      <w:r w:rsidRPr="00E0359C">
        <w:t xml:space="preserve"> </w:t>
      </w:r>
      <w:r w:rsidRPr="00E0359C">
        <w:rPr>
          <w:i/>
          <w:iCs/>
        </w:rPr>
        <w:t>27</w:t>
      </w:r>
      <w:r w:rsidRPr="00E0359C">
        <w:t>(5), 544–670.</w:t>
      </w:r>
    </w:p>
    <w:p w14:paraId="568E9161" w14:textId="77777777" w:rsidR="005D4CC1" w:rsidRPr="00E0359C" w:rsidRDefault="005D4CC1" w:rsidP="005D4CC1">
      <w:pPr>
        <w:spacing w:after="120"/>
        <w:ind w:left="567" w:hanging="567"/>
      </w:pPr>
      <w:r w:rsidRPr="00E0359C">
        <w:t xml:space="preserve">Hammersley, Martyn. (1997). Educational research and teaching: a response to David Hargreaves’ TTA lecture. </w:t>
      </w:r>
      <w:r w:rsidRPr="00E0359C">
        <w:rPr>
          <w:i/>
        </w:rPr>
        <w:t>British Educational Research Journal</w:t>
      </w:r>
      <w:r w:rsidRPr="00E0359C">
        <w:t xml:space="preserve">, </w:t>
      </w:r>
      <w:r w:rsidRPr="00E0359C">
        <w:rPr>
          <w:i/>
          <w:iCs/>
        </w:rPr>
        <w:t>23</w:t>
      </w:r>
      <w:r w:rsidRPr="00E0359C">
        <w:t xml:space="preserve">(2), 141–161. </w:t>
      </w:r>
    </w:p>
    <w:p w14:paraId="23CBCAEC" w14:textId="77777777" w:rsidR="00C9778C" w:rsidRPr="00E0359C" w:rsidRDefault="00C9778C" w:rsidP="00C9778C">
      <w:pPr>
        <w:spacing w:after="120"/>
        <w:ind w:left="567" w:hanging="567"/>
      </w:pPr>
      <w:r w:rsidRPr="00E0359C">
        <w:t>Hargreaves, David. (1996). Teaching as a research-based profession: Possibilities and prospects: Teacher Training Agency Annual Lecture 1996. London: Teacher Training Agency. [Reprinted in Martyn Hammersley (Ed.),</w:t>
      </w:r>
      <w:r w:rsidRPr="00E0359C">
        <w:rPr>
          <w:i/>
        </w:rPr>
        <w:t xml:space="preserve"> Educational research and evidence-based practice</w:t>
      </w:r>
      <w:r w:rsidRPr="00E0359C">
        <w:rPr>
          <w:iCs/>
        </w:rPr>
        <w:t>, (2007), pp.</w:t>
      </w:r>
      <w:r w:rsidRPr="00E0359C">
        <w:rPr>
          <w:i/>
        </w:rPr>
        <w:t xml:space="preserve"> </w:t>
      </w:r>
      <w:r w:rsidRPr="00E0359C">
        <w:t xml:space="preserve">18–42. London: Sage/Milton Keynes: Open University Press.] </w:t>
      </w:r>
    </w:p>
    <w:p w14:paraId="5C3494DA" w14:textId="77777777" w:rsidR="00C9778C" w:rsidRPr="00E0359C" w:rsidRDefault="00C9778C" w:rsidP="00C9778C">
      <w:pPr>
        <w:spacing w:after="120"/>
        <w:ind w:left="567" w:hanging="567"/>
      </w:pPr>
      <w:proofErr w:type="spellStart"/>
      <w:r w:rsidRPr="00E0359C">
        <w:rPr>
          <w:bCs/>
        </w:rPr>
        <w:t>Hartsmar</w:t>
      </w:r>
      <w:proofErr w:type="spellEnd"/>
      <w:r w:rsidRPr="00E0359C">
        <w:rPr>
          <w:bCs/>
        </w:rPr>
        <w:t xml:space="preserve">, Nanny, Carole </w:t>
      </w:r>
      <w:proofErr w:type="spellStart"/>
      <w:r w:rsidRPr="00E0359C">
        <w:rPr>
          <w:bCs/>
        </w:rPr>
        <w:t>Leathwood</w:t>
      </w:r>
      <w:proofErr w:type="spellEnd"/>
      <w:r w:rsidRPr="00E0359C">
        <w:rPr>
          <w:bCs/>
        </w:rPr>
        <w:t xml:space="preserve">, Alistair Ross and Julia </w:t>
      </w:r>
      <w:proofErr w:type="spellStart"/>
      <w:r w:rsidRPr="00E0359C">
        <w:rPr>
          <w:bCs/>
        </w:rPr>
        <w:t>Spinthourakis</w:t>
      </w:r>
      <w:proofErr w:type="spellEnd"/>
      <w:r w:rsidRPr="00E0359C">
        <w:rPr>
          <w:bCs/>
          <w:i/>
        </w:rPr>
        <w:t>.</w:t>
      </w:r>
      <w:r w:rsidRPr="00E0359C">
        <w:rPr>
          <w:bCs/>
          <w:iCs/>
        </w:rPr>
        <w:t xml:space="preserve"> </w:t>
      </w:r>
      <w:r w:rsidRPr="00E0359C">
        <w:rPr>
          <w:bCs/>
        </w:rPr>
        <w:t xml:space="preserve">(2020). </w:t>
      </w:r>
      <w:r w:rsidRPr="00E0359C">
        <w:rPr>
          <w:bCs/>
          <w:shd w:val="clear" w:color="auto" w:fill="FFFFFF"/>
        </w:rPr>
        <w:t>Can educational programmes address social inequity? Some examples from Europe</w:t>
      </w:r>
      <w:r w:rsidRPr="00E0359C">
        <w:rPr>
          <w:bCs/>
        </w:rPr>
        <w:t>. In Alistair Ross (Ed.),</w:t>
      </w:r>
      <w:r w:rsidRPr="00E0359C">
        <w:rPr>
          <w:rFonts w:ascii="Calibri" w:hAnsi="Calibri" w:cs="Calibri"/>
          <w:i/>
        </w:rPr>
        <w:t xml:space="preserve"> Educational research for social justice, </w:t>
      </w:r>
      <w:r w:rsidRPr="00E0359C">
        <w:rPr>
          <w:rFonts w:ascii="Calibri" w:hAnsi="Calibri" w:cs="Calibri"/>
          <w:iCs/>
        </w:rPr>
        <w:t>pp. xxx</w:t>
      </w:r>
      <w:r w:rsidRPr="00E0359C">
        <w:t>–</w:t>
      </w:r>
      <w:r w:rsidRPr="00E0359C">
        <w:rPr>
          <w:rFonts w:ascii="Calibri" w:hAnsi="Calibri" w:cs="Calibri"/>
          <w:iCs/>
        </w:rPr>
        <w:t>xxx. Berlin: Springer.</w:t>
      </w:r>
    </w:p>
    <w:p w14:paraId="683F5638" w14:textId="77777777" w:rsidR="00C9778C" w:rsidRPr="00E0359C" w:rsidRDefault="00C9778C" w:rsidP="00C9778C">
      <w:pPr>
        <w:spacing w:after="120"/>
        <w:ind w:left="567" w:hanging="567"/>
        <w:rPr>
          <w:b/>
        </w:rPr>
      </w:pPr>
      <w:r w:rsidRPr="00E0359C">
        <w:t xml:space="preserve">Hayek, Friedrich. (1944). </w:t>
      </w:r>
      <w:r w:rsidRPr="00E0359C">
        <w:rPr>
          <w:i/>
        </w:rPr>
        <w:t>The road to serfdom</w:t>
      </w:r>
      <w:r w:rsidRPr="00E0359C">
        <w:t xml:space="preserve">. London: Routledge. </w:t>
      </w:r>
    </w:p>
    <w:p w14:paraId="55B6FC94" w14:textId="77777777" w:rsidR="005D4CC1" w:rsidRPr="00E0359C" w:rsidRDefault="005D4CC1" w:rsidP="005D4CC1">
      <w:pPr>
        <w:spacing w:after="120"/>
        <w:ind w:left="567" w:hanging="567"/>
      </w:pPr>
      <w:r w:rsidRPr="00E0359C">
        <w:t xml:space="preserve">Hayler, Mike and Judy Williams. (2016). </w:t>
      </w:r>
      <w:r w:rsidRPr="00E0359C">
        <w:rPr>
          <w:spacing w:val="4"/>
          <w:shd w:val="clear" w:color="auto" w:fill="FCFCFC"/>
        </w:rPr>
        <w:t>On the journey of becoming a teacher educator. In Judy Williams and Mike Hayler (Eds.),</w:t>
      </w:r>
      <w:r w:rsidRPr="00E0359C">
        <w:rPr>
          <w:i/>
          <w:spacing w:val="4"/>
          <w:shd w:val="clear" w:color="auto" w:fill="FCFCFC"/>
        </w:rPr>
        <w:t xml:space="preserve"> Professional learning through transitions and transformation</w:t>
      </w:r>
      <w:r w:rsidRPr="00E0359C">
        <w:rPr>
          <w:spacing w:val="4"/>
          <w:shd w:val="clear" w:color="auto" w:fill="FCFCFC"/>
        </w:rPr>
        <w:t>, pp. 1</w:t>
      </w:r>
      <w:r w:rsidRPr="00E0359C">
        <w:t>–</w:t>
      </w:r>
      <w:r w:rsidRPr="00E0359C">
        <w:rPr>
          <w:spacing w:val="4"/>
          <w:shd w:val="clear" w:color="auto" w:fill="FCFCFC"/>
        </w:rPr>
        <w:t>12. Cham: Springer.</w:t>
      </w:r>
    </w:p>
    <w:p w14:paraId="0288990A" w14:textId="77777777" w:rsidR="00CF1BFD" w:rsidRPr="00E0359C" w:rsidRDefault="00CF1BFD" w:rsidP="00CF1BFD">
      <w:pPr>
        <w:spacing w:after="120"/>
        <w:ind w:left="567" w:hanging="567"/>
        <w:rPr>
          <w:b/>
        </w:rPr>
      </w:pPr>
      <w:r w:rsidRPr="00E0359C">
        <w:t xml:space="preserve">Hegel, Georg, (1985 [1840]). The science of laws, morals and religion. In Michael George and Andrew Vincent (Eds.), </w:t>
      </w:r>
      <w:r w:rsidRPr="00E0359C">
        <w:rPr>
          <w:rStyle w:val="a-size-large"/>
          <w:rFonts w:cstheme="minorHAnsi"/>
          <w:i/>
          <w:szCs w:val="22"/>
        </w:rPr>
        <w:t>The Philosophical Propaedeutic</w:t>
      </w:r>
      <w:r w:rsidRPr="00E0359C">
        <w:t>,  pp. 1 – 54. London: Blackwell.</w:t>
      </w:r>
      <w:r w:rsidRPr="00E0359C">
        <w:rPr>
          <w:b/>
        </w:rPr>
        <w:t xml:space="preserve"> </w:t>
      </w:r>
      <w:r w:rsidRPr="00E0359C">
        <w:rPr>
          <w:bCs/>
        </w:rPr>
        <w:t>[Translated</w:t>
      </w:r>
      <w:r w:rsidRPr="00E0359C">
        <w:t xml:space="preserve"> by Arnold Miller, from </w:t>
      </w:r>
      <w:proofErr w:type="spellStart"/>
      <w:r w:rsidRPr="00E0359C">
        <w:t>Rechtslehre</w:t>
      </w:r>
      <w:proofErr w:type="spellEnd"/>
      <w:r w:rsidRPr="00E0359C">
        <w:t xml:space="preserve">. In Georg Hegel. (1840). </w:t>
      </w:r>
      <w:proofErr w:type="spellStart"/>
      <w:r w:rsidRPr="00E0359C">
        <w:rPr>
          <w:i/>
        </w:rPr>
        <w:t>Philosophische</w:t>
      </w:r>
      <w:proofErr w:type="spellEnd"/>
      <w:r w:rsidRPr="00E0359C">
        <w:rPr>
          <w:i/>
        </w:rPr>
        <w:t xml:space="preserve"> </w:t>
      </w:r>
      <w:proofErr w:type="spellStart"/>
      <w:r w:rsidRPr="00E0359C">
        <w:rPr>
          <w:i/>
        </w:rPr>
        <w:t>Propädeutik</w:t>
      </w:r>
      <w:proofErr w:type="spellEnd"/>
      <w:r w:rsidRPr="00E0359C">
        <w:rPr>
          <w:i/>
        </w:rPr>
        <w:t xml:space="preserve">, </w:t>
      </w:r>
      <w:r w:rsidRPr="00E0359C">
        <w:rPr>
          <w:iCs/>
        </w:rPr>
        <w:t>(</w:t>
      </w:r>
      <w:r w:rsidRPr="00E0359C">
        <w:t>Karl Rosenkranz, Ed.), pp. 33 - 53</w:t>
      </w:r>
      <w:r w:rsidRPr="00E0359C">
        <w:rPr>
          <w:i/>
        </w:rPr>
        <w:t>.</w:t>
      </w:r>
      <w:r w:rsidRPr="00E0359C">
        <w:t xml:space="preserve"> Berlin: Duncker and </w:t>
      </w:r>
      <w:proofErr w:type="spellStart"/>
      <w:r w:rsidRPr="00E0359C">
        <w:t>Humblot</w:t>
      </w:r>
      <w:proofErr w:type="spellEnd"/>
      <w:r w:rsidRPr="00E0359C">
        <w:t>].</w:t>
      </w:r>
    </w:p>
    <w:p w14:paraId="15E10D7B" w14:textId="77777777" w:rsidR="005D4CC1" w:rsidRPr="00E0359C" w:rsidRDefault="005D4CC1" w:rsidP="005D4CC1">
      <w:pPr>
        <w:spacing w:after="120"/>
        <w:ind w:left="567" w:hanging="567"/>
      </w:pPr>
      <w:r w:rsidRPr="00E0359C">
        <w:t xml:space="preserve">Henrich, Joseph, Steven Heine and Ara </w:t>
      </w:r>
      <w:proofErr w:type="spellStart"/>
      <w:r w:rsidRPr="00E0359C">
        <w:t>Norenzayan</w:t>
      </w:r>
      <w:proofErr w:type="spellEnd"/>
      <w:r w:rsidRPr="00E0359C">
        <w:t xml:space="preserve">. (2010). The weirdest people in the world? </w:t>
      </w:r>
      <w:proofErr w:type="spellStart"/>
      <w:r w:rsidRPr="00E0359C">
        <w:rPr>
          <w:i/>
        </w:rPr>
        <w:t>Behavioral</w:t>
      </w:r>
      <w:proofErr w:type="spellEnd"/>
      <w:r w:rsidRPr="00E0359C">
        <w:rPr>
          <w:i/>
        </w:rPr>
        <w:t xml:space="preserve"> and Brain Sciences,</w:t>
      </w:r>
      <w:r w:rsidRPr="00E0359C">
        <w:t xml:space="preserve"> </w:t>
      </w:r>
      <w:r w:rsidRPr="00E0359C">
        <w:rPr>
          <w:i/>
          <w:iCs/>
        </w:rPr>
        <w:t>33</w:t>
      </w:r>
      <w:r w:rsidRPr="00E0359C">
        <w:t>(2</w:t>
      </w:r>
      <w:r w:rsidRPr="00E0359C">
        <w:rPr>
          <w:rFonts w:ascii="Calibri" w:hAnsi="Calibri" w:cs="Calibri"/>
          <w:szCs w:val="22"/>
        </w:rPr>
        <w:t>–</w:t>
      </w:r>
      <w:r w:rsidRPr="00E0359C">
        <w:t>3), 61–83.</w:t>
      </w:r>
    </w:p>
    <w:p w14:paraId="75CED4DD" w14:textId="77777777" w:rsidR="005D4CC1" w:rsidRPr="00E0359C" w:rsidRDefault="005D4CC1" w:rsidP="005D4CC1">
      <w:pPr>
        <w:spacing w:after="120"/>
        <w:ind w:left="567" w:hanging="567"/>
        <w:rPr>
          <w:rFonts w:ascii="Calibri" w:hAnsi="Calibri" w:cs="Calibri"/>
          <w:iCs/>
        </w:rPr>
      </w:pPr>
      <w:r w:rsidRPr="00E0359C">
        <w:rPr>
          <w:bCs/>
          <w:iCs/>
        </w:rPr>
        <w:t xml:space="preserve">Hutchings, </w:t>
      </w:r>
      <w:proofErr w:type="spellStart"/>
      <w:r w:rsidRPr="00E0359C">
        <w:rPr>
          <w:bCs/>
          <w:iCs/>
        </w:rPr>
        <w:t>Merryn</w:t>
      </w:r>
      <w:proofErr w:type="spellEnd"/>
      <w:r w:rsidRPr="00E0359C">
        <w:rPr>
          <w:bCs/>
          <w:iCs/>
        </w:rPr>
        <w:t xml:space="preserve">. </w:t>
      </w:r>
      <w:r w:rsidRPr="00E0359C">
        <w:rPr>
          <w:bCs/>
        </w:rPr>
        <w:t>(2020a). Accountability, social justice and educational research.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1AC9106F" w14:textId="77777777" w:rsidR="005D4CC1" w:rsidRPr="00E0359C" w:rsidRDefault="005D4CC1" w:rsidP="005D4CC1">
      <w:pPr>
        <w:spacing w:after="120"/>
        <w:ind w:left="567" w:hanging="567"/>
      </w:pPr>
      <w:r w:rsidRPr="00E0359C">
        <w:rPr>
          <w:bCs/>
          <w:iCs/>
        </w:rPr>
        <w:t xml:space="preserve">Hutchings, </w:t>
      </w:r>
      <w:proofErr w:type="spellStart"/>
      <w:r w:rsidRPr="00E0359C">
        <w:rPr>
          <w:bCs/>
          <w:iCs/>
        </w:rPr>
        <w:t>Merryn</w:t>
      </w:r>
      <w:proofErr w:type="spellEnd"/>
      <w:r w:rsidRPr="00E0359C">
        <w:rPr>
          <w:bCs/>
          <w:iCs/>
        </w:rPr>
        <w:t xml:space="preserve"> </w:t>
      </w:r>
      <w:r w:rsidRPr="00E0359C">
        <w:rPr>
          <w:bCs/>
        </w:rPr>
        <w:t>(2020b). Inequality, social mobility and the ‘glass floor’: How more affluent parents secure educational advantage for their children.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2E882667" w14:textId="77777777" w:rsidR="005D4CC1" w:rsidRPr="00E0359C" w:rsidRDefault="005D4CC1" w:rsidP="005D4CC1">
      <w:pPr>
        <w:spacing w:after="120"/>
        <w:ind w:left="567" w:hanging="567"/>
      </w:pPr>
      <w:r w:rsidRPr="00E0359C">
        <w:t xml:space="preserve">Hutchings, </w:t>
      </w:r>
      <w:proofErr w:type="spellStart"/>
      <w:r w:rsidRPr="00E0359C">
        <w:t>Merryn</w:t>
      </w:r>
      <w:proofErr w:type="spellEnd"/>
      <w:r w:rsidRPr="00E0359C">
        <w:t xml:space="preserve">, Ian </w:t>
      </w:r>
      <w:proofErr w:type="spellStart"/>
      <w:r w:rsidRPr="00E0359C">
        <w:t>Menter</w:t>
      </w:r>
      <w:proofErr w:type="spellEnd"/>
      <w:r w:rsidRPr="00E0359C">
        <w:t xml:space="preserve">, Alistair Ross, Dave Thomson and Dorothy Bedford. (2000). </w:t>
      </w:r>
      <w:r w:rsidRPr="00E0359C">
        <w:rPr>
          <w:i/>
          <w:shd w:val="clear" w:color="auto" w:fill="FFFFFF"/>
        </w:rPr>
        <w:t>Teacher supply and retention in London 1998</w:t>
      </w:r>
      <w:r w:rsidRPr="00E0359C">
        <w:rPr>
          <w:rFonts w:ascii="Calibri" w:hAnsi="Calibri" w:cs="Calibri"/>
          <w:szCs w:val="22"/>
        </w:rPr>
        <w:t>–</w:t>
      </w:r>
      <w:r w:rsidRPr="00E0359C">
        <w:rPr>
          <w:i/>
          <w:shd w:val="clear" w:color="auto" w:fill="FFFFFF"/>
        </w:rPr>
        <w:t>99: A study of six London boroughs</w:t>
      </w:r>
      <w:r w:rsidRPr="00E0359C">
        <w:rPr>
          <w:shd w:val="clear" w:color="auto" w:fill="FFFFFF"/>
        </w:rPr>
        <w:t xml:space="preserve">. London: </w:t>
      </w:r>
      <w:r w:rsidRPr="00E0359C">
        <w:t xml:space="preserve">Teacher Training Agency. </w:t>
      </w:r>
    </w:p>
    <w:p w14:paraId="7EF1D49B" w14:textId="77777777" w:rsidR="00C9778C" w:rsidRPr="00E0359C" w:rsidRDefault="00C9778C" w:rsidP="00C9778C">
      <w:pPr>
        <w:spacing w:after="120"/>
        <w:ind w:left="567" w:hanging="567"/>
        <w:rPr>
          <w:b/>
        </w:rPr>
      </w:pPr>
      <w:r w:rsidRPr="00E0359C">
        <w:lastRenderedPageBreak/>
        <w:t>Joseph Rowntree Foundation. (1997)</w:t>
      </w:r>
      <w:r w:rsidRPr="00E0359C">
        <w:rPr>
          <w:i/>
        </w:rPr>
        <w:t>. Income mobility in Britain (Social Policy Research Report 121)</w:t>
      </w:r>
      <w:r w:rsidRPr="00E0359C">
        <w:t xml:space="preserve">. York: Joseph Rowntree Foundation. </w:t>
      </w:r>
    </w:p>
    <w:p w14:paraId="1E764781" w14:textId="77777777" w:rsidR="00C9778C" w:rsidRPr="00E0359C" w:rsidRDefault="00C9778C" w:rsidP="00C9778C">
      <w:pPr>
        <w:spacing w:after="120"/>
        <w:ind w:left="567" w:hanging="567"/>
      </w:pPr>
      <w:proofErr w:type="spellStart"/>
      <w:r w:rsidRPr="00E0359C">
        <w:rPr>
          <w:shd w:val="clear" w:color="auto" w:fill="FFFFFF"/>
        </w:rPr>
        <w:t>Judt</w:t>
      </w:r>
      <w:proofErr w:type="spellEnd"/>
      <w:r w:rsidRPr="00E0359C">
        <w:rPr>
          <w:shd w:val="clear" w:color="auto" w:fill="FFFFFF"/>
        </w:rPr>
        <w:t xml:space="preserve">, Tony. (2011). </w:t>
      </w:r>
      <w:r w:rsidRPr="00E0359C">
        <w:rPr>
          <w:rStyle w:val="a-size-large"/>
          <w:rFonts w:cstheme="minorHAnsi"/>
          <w:i/>
          <w:szCs w:val="22"/>
        </w:rPr>
        <w:t>Ill fares the land: A treatise on our present discontents</w:t>
      </w:r>
      <w:r w:rsidRPr="00E0359C">
        <w:rPr>
          <w:rStyle w:val="a-size-large"/>
          <w:rFonts w:cstheme="minorHAnsi"/>
          <w:szCs w:val="22"/>
        </w:rPr>
        <w:t xml:space="preserve">. </w:t>
      </w:r>
      <w:r w:rsidRPr="00E0359C">
        <w:rPr>
          <w:rStyle w:val="a-size-large"/>
          <w:rFonts w:cstheme="minorHAnsi"/>
          <w:b/>
          <w:szCs w:val="22"/>
        </w:rPr>
        <w:t>L</w:t>
      </w:r>
      <w:r w:rsidRPr="00E0359C">
        <w:rPr>
          <w:rStyle w:val="a-size-large"/>
          <w:rFonts w:cstheme="minorHAnsi"/>
          <w:szCs w:val="22"/>
        </w:rPr>
        <w:t xml:space="preserve">ondon: Penguin. </w:t>
      </w:r>
    </w:p>
    <w:p w14:paraId="3AA1F55B" w14:textId="71099C1E" w:rsidR="00C9778C" w:rsidRPr="00E0359C" w:rsidRDefault="00C9778C" w:rsidP="00C9778C">
      <w:pPr>
        <w:spacing w:after="120"/>
        <w:ind w:left="567" w:hanging="567"/>
      </w:pPr>
      <w:r w:rsidRPr="00E0359C">
        <w:t xml:space="preserve">Jurist, Elliot. (2000). </w:t>
      </w:r>
      <w:r w:rsidRPr="00E0359C">
        <w:rPr>
          <w:i/>
        </w:rPr>
        <w:t>Beyond Hegel and Nietz</w:t>
      </w:r>
      <w:r w:rsidR="00962BB1" w:rsidRPr="00E0359C">
        <w:rPr>
          <w:i/>
        </w:rPr>
        <w:t>s</w:t>
      </w:r>
      <w:r w:rsidRPr="00E0359C">
        <w:rPr>
          <w:i/>
        </w:rPr>
        <w:t>che: Philosophy, culture and agency.</w:t>
      </w:r>
      <w:r w:rsidRPr="00E0359C">
        <w:t xml:space="preserve"> Cambridge MA: MIT Press. </w:t>
      </w:r>
    </w:p>
    <w:p w14:paraId="724E8790" w14:textId="77777777" w:rsidR="00C9778C" w:rsidRPr="00E0359C" w:rsidRDefault="00C9778C" w:rsidP="00C9778C">
      <w:pPr>
        <w:spacing w:after="120"/>
        <w:ind w:left="567" w:hanging="567"/>
      </w:pPr>
      <w:proofErr w:type="spellStart"/>
      <w:r w:rsidRPr="00E0359C">
        <w:t>Kertzer</w:t>
      </w:r>
      <w:proofErr w:type="spellEnd"/>
      <w:r w:rsidRPr="00E0359C">
        <w:t xml:space="preserve">, David. (2017). The perils of reification: Identity categories and identity construction in migration research. In Francesca Decimo and Alessandra </w:t>
      </w:r>
      <w:proofErr w:type="spellStart"/>
      <w:r w:rsidRPr="00E0359C">
        <w:t>Gribaldo</w:t>
      </w:r>
      <w:proofErr w:type="spellEnd"/>
      <w:r w:rsidRPr="00E0359C">
        <w:t xml:space="preserve"> (Eds.), </w:t>
      </w:r>
      <w:r w:rsidRPr="00E0359C">
        <w:rPr>
          <w:i/>
        </w:rPr>
        <w:t xml:space="preserve">Boundaries within nation, kinship and identity among migrants and minorities, </w:t>
      </w:r>
      <w:r w:rsidRPr="00E0359C">
        <w:rPr>
          <w:iCs/>
        </w:rPr>
        <w:t xml:space="preserve">pp. </w:t>
      </w:r>
      <w:r w:rsidRPr="00E0359C">
        <w:t>23–34. Cham: Springer.</w:t>
      </w:r>
    </w:p>
    <w:p w14:paraId="49B3818B" w14:textId="77777777" w:rsidR="00C9778C" w:rsidRPr="00E0359C" w:rsidRDefault="00C9778C" w:rsidP="00C9778C">
      <w:pPr>
        <w:spacing w:after="120"/>
        <w:ind w:left="567" w:hanging="567"/>
      </w:pPr>
      <w:proofErr w:type="spellStart"/>
      <w:r w:rsidRPr="00E0359C">
        <w:t>Kertzer</w:t>
      </w:r>
      <w:proofErr w:type="spellEnd"/>
      <w:r w:rsidRPr="00E0359C">
        <w:t xml:space="preserve">, David and Dominique </w:t>
      </w:r>
      <w:proofErr w:type="spellStart"/>
      <w:r w:rsidRPr="00E0359C">
        <w:t>Arel</w:t>
      </w:r>
      <w:proofErr w:type="spellEnd"/>
      <w:r w:rsidRPr="00E0359C">
        <w:t xml:space="preserve">. (2002). </w:t>
      </w:r>
      <w:r w:rsidRPr="00E0359C">
        <w:rPr>
          <w:i/>
        </w:rPr>
        <w:t>Censuses and identity: The politics of ethnicity, race and language in national censuses</w:t>
      </w:r>
      <w:r w:rsidRPr="00E0359C">
        <w:t>. Cambridge: Cambridge University Press.</w:t>
      </w:r>
    </w:p>
    <w:p w14:paraId="067D906F" w14:textId="77777777" w:rsidR="00C9778C" w:rsidRPr="00E0359C" w:rsidRDefault="00C9778C" w:rsidP="00C9778C">
      <w:pPr>
        <w:spacing w:after="120"/>
        <w:ind w:left="567" w:hanging="567"/>
        <w:rPr>
          <w:rStyle w:val="Strong"/>
          <w:rFonts w:cstheme="minorHAnsi"/>
          <w:b w:val="0"/>
          <w:szCs w:val="22"/>
          <w:bdr w:val="none" w:sz="0" w:space="0" w:color="auto" w:frame="1"/>
        </w:rPr>
      </w:pPr>
      <w:proofErr w:type="spellStart"/>
      <w:r w:rsidRPr="00E0359C">
        <w:rPr>
          <w:rStyle w:val="Strong"/>
          <w:rFonts w:cstheme="minorHAnsi"/>
          <w:b w:val="0"/>
          <w:szCs w:val="22"/>
          <w:bdr w:val="none" w:sz="0" w:space="0" w:color="auto" w:frame="1"/>
        </w:rPr>
        <w:t>Koutsouris</w:t>
      </w:r>
      <w:proofErr w:type="spellEnd"/>
      <w:r w:rsidRPr="00E0359C">
        <w:rPr>
          <w:rStyle w:val="Strong"/>
          <w:rFonts w:cstheme="minorHAnsi"/>
          <w:b w:val="0"/>
          <w:szCs w:val="22"/>
          <w:bdr w:val="none" w:sz="0" w:space="0" w:color="auto" w:frame="1"/>
        </w:rPr>
        <w:t xml:space="preserve">, George and </w:t>
      </w:r>
      <w:proofErr w:type="spellStart"/>
      <w:r w:rsidRPr="00E0359C">
        <w:rPr>
          <w:rStyle w:val="Strong"/>
          <w:rFonts w:cstheme="minorHAnsi"/>
          <w:b w:val="0"/>
          <w:szCs w:val="22"/>
          <w:bdr w:val="none" w:sz="0" w:space="0" w:color="auto" w:frame="1"/>
        </w:rPr>
        <w:t>Brahm</w:t>
      </w:r>
      <w:proofErr w:type="spellEnd"/>
      <w:r w:rsidRPr="00E0359C">
        <w:rPr>
          <w:rStyle w:val="Strong"/>
          <w:rFonts w:cstheme="minorHAnsi"/>
          <w:b w:val="0"/>
          <w:szCs w:val="22"/>
          <w:bdr w:val="none" w:sz="0" w:space="0" w:color="auto" w:frame="1"/>
        </w:rPr>
        <w:t xml:space="preserve"> Norwich. (2018). What exactly do RTC findings tell us in educational research. </w:t>
      </w:r>
      <w:r w:rsidRPr="00E0359C">
        <w:rPr>
          <w:rStyle w:val="Strong"/>
          <w:rFonts w:cstheme="minorHAnsi"/>
          <w:b w:val="0"/>
          <w:i/>
          <w:szCs w:val="22"/>
          <w:bdr w:val="none" w:sz="0" w:space="0" w:color="auto" w:frame="1"/>
        </w:rPr>
        <w:t>British Educational Research Journal,</w:t>
      </w:r>
      <w:r w:rsidRPr="00E0359C">
        <w:rPr>
          <w:rStyle w:val="Strong"/>
          <w:rFonts w:cstheme="minorHAnsi"/>
          <w:b w:val="0"/>
          <w:szCs w:val="22"/>
          <w:bdr w:val="none" w:sz="0" w:space="0" w:color="auto" w:frame="1"/>
        </w:rPr>
        <w:t xml:space="preserve"> </w:t>
      </w:r>
      <w:r w:rsidRPr="00E0359C">
        <w:rPr>
          <w:rStyle w:val="Strong"/>
          <w:rFonts w:cstheme="minorHAnsi"/>
          <w:b w:val="0"/>
          <w:i/>
          <w:iCs/>
          <w:szCs w:val="22"/>
          <w:bdr w:val="none" w:sz="0" w:space="0" w:color="auto" w:frame="1"/>
        </w:rPr>
        <w:t>44</w:t>
      </w:r>
      <w:r w:rsidRPr="00E0359C">
        <w:rPr>
          <w:rStyle w:val="Strong"/>
          <w:rFonts w:cstheme="minorHAnsi"/>
          <w:b w:val="0"/>
          <w:szCs w:val="22"/>
          <w:bdr w:val="none" w:sz="0" w:space="0" w:color="auto" w:frame="1"/>
        </w:rPr>
        <w:t>(6), 939</w:t>
      </w:r>
      <w:r w:rsidRPr="00E0359C">
        <w:t>–</w:t>
      </w:r>
      <w:r w:rsidRPr="00E0359C">
        <w:rPr>
          <w:rStyle w:val="Strong"/>
          <w:rFonts w:cstheme="minorHAnsi"/>
          <w:b w:val="0"/>
          <w:szCs w:val="22"/>
          <w:bdr w:val="none" w:sz="0" w:space="0" w:color="auto" w:frame="1"/>
        </w:rPr>
        <w:t>959.</w:t>
      </w:r>
    </w:p>
    <w:p w14:paraId="1A1AAB1F" w14:textId="77777777" w:rsidR="00C9778C" w:rsidRPr="00E0359C" w:rsidRDefault="00C9778C" w:rsidP="00C9778C">
      <w:pPr>
        <w:spacing w:after="120"/>
        <w:ind w:left="567" w:hanging="567"/>
        <w:rPr>
          <w:bCs/>
          <w:bdr w:val="none" w:sz="0" w:space="0" w:color="auto" w:frame="1"/>
        </w:rPr>
      </w:pPr>
      <w:r w:rsidRPr="00E0359C">
        <w:rPr>
          <w:rStyle w:val="contribdegrees"/>
          <w:rFonts w:cstheme="minorHAnsi"/>
          <w:szCs w:val="22"/>
        </w:rPr>
        <w:t xml:space="preserve">Laswell, Howard. (1936). </w:t>
      </w:r>
      <w:r w:rsidRPr="00E0359C">
        <w:rPr>
          <w:rStyle w:val="a-size-large"/>
          <w:rFonts w:cstheme="minorHAnsi"/>
          <w:i/>
          <w:iCs/>
          <w:color w:val="111111"/>
          <w:szCs w:val="22"/>
        </w:rPr>
        <w:t>Politics: Who gets what, when, how</w:t>
      </w:r>
      <w:r w:rsidRPr="00E0359C">
        <w:rPr>
          <w:rStyle w:val="a-size-large"/>
          <w:rFonts w:cstheme="minorHAnsi"/>
          <w:color w:val="111111"/>
          <w:szCs w:val="22"/>
        </w:rPr>
        <w:t>. New York (NY): McGraw-Hill.</w:t>
      </w:r>
      <w:r w:rsidRPr="00E0359C">
        <w:rPr>
          <w:color w:val="111111"/>
        </w:rPr>
        <w:t> </w:t>
      </w:r>
    </w:p>
    <w:p w14:paraId="0C2391F7" w14:textId="77777777" w:rsidR="00C9778C" w:rsidRPr="00E0359C" w:rsidRDefault="00C9778C" w:rsidP="00C9778C">
      <w:pPr>
        <w:spacing w:after="120"/>
        <w:ind w:left="567" w:hanging="567"/>
      </w:pPr>
      <w:proofErr w:type="spellStart"/>
      <w:r w:rsidRPr="00E0359C">
        <w:rPr>
          <w:rStyle w:val="contribdegrees"/>
          <w:rFonts w:cstheme="minorHAnsi"/>
          <w:szCs w:val="22"/>
        </w:rPr>
        <w:t>Leathwood</w:t>
      </w:r>
      <w:proofErr w:type="spellEnd"/>
      <w:r w:rsidRPr="00E0359C">
        <w:rPr>
          <w:rStyle w:val="contribdegrees"/>
          <w:rFonts w:cstheme="minorHAnsi"/>
          <w:szCs w:val="22"/>
        </w:rPr>
        <w:t xml:space="preserve">, Carole and Paul O'Connell. (2003). </w:t>
      </w:r>
      <w:r w:rsidRPr="00E0359C">
        <w:rPr>
          <w:rStyle w:val="nlmarticle-titlehlfld-title"/>
          <w:rFonts w:cstheme="minorHAnsi"/>
          <w:szCs w:val="22"/>
        </w:rPr>
        <w:t xml:space="preserve">‘It's a struggle’: the construction of the ‘new student’ in higher education. </w:t>
      </w:r>
      <w:r w:rsidRPr="00E0359C">
        <w:rPr>
          <w:i/>
        </w:rPr>
        <w:t>Journal of Education Policy</w:t>
      </w:r>
      <w:r w:rsidRPr="00E0359C">
        <w:t xml:space="preserve">, </w:t>
      </w:r>
      <w:r w:rsidRPr="00E0359C">
        <w:rPr>
          <w:i/>
          <w:iCs/>
        </w:rPr>
        <w:t>18</w:t>
      </w:r>
      <w:r w:rsidRPr="00E0359C">
        <w:t xml:space="preserve">(6), 597–615. </w:t>
      </w:r>
    </w:p>
    <w:p w14:paraId="4BA37211" w14:textId="683FC530" w:rsidR="00C9778C" w:rsidRPr="00E0359C" w:rsidRDefault="00C9778C" w:rsidP="00C9778C">
      <w:pPr>
        <w:spacing w:after="120"/>
        <w:ind w:left="567" w:hanging="567"/>
        <w:rPr>
          <w:color w:val="121212"/>
          <w:shd w:val="clear" w:color="auto" w:fill="FFFFFF"/>
        </w:rPr>
      </w:pPr>
      <w:proofErr w:type="spellStart"/>
      <w:r w:rsidRPr="00E0359C">
        <w:rPr>
          <w:color w:val="121212"/>
          <w:shd w:val="clear" w:color="auto" w:fill="FFFFFF"/>
        </w:rPr>
        <w:t>Mance</w:t>
      </w:r>
      <w:proofErr w:type="spellEnd"/>
      <w:r w:rsidRPr="00E0359C">
        <w:rPr>
          <w:color w:val="121212"/>
          <w:shd w:val="clear" w:color="auto" w:fill="FFFFFF"/>
        </w:rPr>
        <w:t xml:space="preserve">, Henry. (2016). Britain has had enough of experts, says Gove. </w:t>
      </w:r>
      <w:r w:rsidRPr="00E0359C">
        <w:rPr>
          <w:i/>
          <w:color w:val="121212"/>
          <w:shd w:val="clear" w:color="auto" w:fill="FFFFFF"/>
        </w:rPr>
        <w:t>Financial Times</w:t>
      </w:r>
      <w:r w:rsidRPr="00E0359C">
        <w:rPr>
          <w:color w:val="121212"/>
          <w:shd w:val="clear" w:color="auto" w:fill="FFFFFF"/>
        </w:rPr>
        <w:t xml:space="preserve">. 3 June. Retrieved from </w:t>
      </w:r>
      <w:r w:rsidRPr="00F645FE">
        <w:t>https://www.ft.com/content/3be49734-29cb-11e6-83e4-abc22d5d108c</w:t>
      </w:r>
    </w:p>
    <w:p w14:paraId="585BDF00" w14:textId="77777777" w:rsidR="00C9778C" w:rsidRPr="00E0359C" w:rsidRDefault="00C9778C" w:rsidP="00C9778C">
      <w:pPr>
        <w:spacing w:after="120"/>
        <w:ind w:left="567" w:hanging="567"/>
        <w:rPr>
          <w:rFonts w:ascii="Calibri" w:hAnsi="Calibri" w:cs="Calibri"/>
          <w:iCs/>
        </w:rPr>
      </w:pPr>
      <w:r w:rsidRPr="00E0359C">
        <w:rPr>
          <w:bCs/>
          <w:iCs/>
        </w:rPr>
        <w:t xml:space="preserve">Maylor, </w:t>
      </w:r>
      <w:proofErr w:type="spellStart"/>
      <w:r w:rsidRPr="00E0359C">
        <w:rPr>
          <w:bCs/>
          <w:iCs/>
        </w:rPr>
        <w:t>Uvanney</w:t>
      </w:r>
      <w:proofErr w:type="spellEnd"/>
      <w:r w:rsidRPr="00E0359C">
        <w:rPr>
          <w:bCs/>
          <w:i/>
        </w:rPr>
        <w:t>.</w:t>
      </w:r>
      <w:r w:rsidRPr="00E0359C">
        <w:rPr>
          <w:bCs/>
          <w:iCs/>
        </w:rPr>
        <w:t xml:space="preserve"> </w:t>
      </w:r>
      <w:r w:rsidRPr="00E0359C">
        <w:rPr>
          <w:bCs/>
        </w:rPr>
        <w:t>(2020). Curriculum diversity and social justice education: From New Labour to Conservative government control of education in England.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5786E142" w14:textId="77777777" w:rsidR="00C9778C" w:rsidRPr="00E0359C" w:rsidRDefault="00C9778C" w:rsidP="00C9778C">
      <w:pPr>
        <w:spacing w:after="120"/>
        <w:ind w:left="567" w:hanging="567"/>
        <w:rPr>
          <w:rFonts w:ascii="Calibri" w:hAnsi="Calibri" w:cs="Calibri"/>
          <w:iCs/>
        </w:rPr>
      </w:pPr>
      <w:r w:rsidRPr="00E0359C">
        <w:rPr>
          <w:bCs/>
        </w:rPr>
        <w:t>McCallum, Andrew</w:t>
      </w:r>
      <w:r w:rsidRPr="00E0359C">
        <w:rPr>
          <w:bCs/>
          <w:i/>
        </w:rPr>
        <w:t>.</w:t>
      </w:r>
      <w:r w:rsidRPr="00E0359C">
        <w:rPr>
          <w:bCs/>
          <w:iCs/>
        </w:rPr>
        <w:t xml:space="preserve"> </w:t>
      </w:r>
      <w:r w:rsidRPr="00E0359C">
        <w:rPr>
          <w:bCs/>
        </w:rPr>
        <w:t xml:space="preserve">(2020). </w:t>
      </w:r>
      <w:r w:rsidRPr="00E0359C">
        <w:rPr>
          <w:bCs/>
          <w:iCs/>
        </w:rPr>
        <w:t>Who gets to be creative in class? Creativity as a matter of social justice in secondary English lessons</w:t>
      </w:r>
      <w:r w:rsidRPr="00E0359C">
        <w:rPr>
          <w:bCs/>
        </w:rPr>
        <w:t>.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6C7C8E25" w14:textId="77777777" w:rsidR="00C9778C" w:rsidRPr="00E0359C" w:rsidRDefault="00C9778C" w:rsidP="00C9778C">
      <w:pPr>
        <w:spacing w:after="120"/>
        <w:ind w:left="567" w:hanging="567"/>
      </w:pPr>
      <w:proofErr w:type="spellStart"/>
      <w:r w:rsidRPr="00E0359C">
        <w:t>Menter</w:t>
      </w:r>
      <w:proofErr w:type="spellEnd"/>
      <w:r w:rsidRPr="00E0359C">
        <w:t xml:space="preserve">, Ian, </w:t>
      </w:r>
      <w:proofErr w:type="spellStart"/>
      <w:r w:rsidRPr="00E0359C">
        <w:t>Merryn</w:t>
      </w:r>
      <w:proofErr w:type="spellEnd"/>
      <w:r w:rsidRPr="00E0359C">
        <w:t xml:space="preserve"> Hutchings and Alistair Ross (Eds). (2002). </w:t>
      </w:r>
      <w:r w:rsidRPr="00E0359C">
        <w:rPr>
          <w:i/>
        </w:rPr>
        <w:t>The crisis in teacher supply: Research and strategies for retention</w:t>
      </w:r>
      <w:r w:rsidRPr="00E0359C">
        <w:t xml:space="preserve">. Stoke on Trent: Trentham. </w:t>
      </w:r>
    </w:p>
    <w:p w14:paraId="0166143C" w14:textId="77777777" w:rsidR="00C9778C" w:rsidRPr="00E0359C" w:rsidRDefault="00C9778C" w:rsidP="00C9778C">
      <w:pPr>
        <w:spacing w:after="120"/>
        <w:ind w:left="567" w:hanging="567"/>
      </w:pPr>
      <w:proofErr w:type="spellStart"/>
      <w:r w:rsidRPr="00E0359C">
        <w:rPr>
          <w:bCs/>
          <w:iCs/>
        </w:rPr>
        <w:t>Menter</w:t>
      </w:r>
      <w:proofErr w:type="spellEnd"/>
      <w:r w:rsidRPr="00E0359C">
        <w:rPr>
          <w:bCs/>
          <w:iCs/>
        </w:rPr>
        <w:t>, Ian</w:t>
      </w:r>
      <w:r w:rsidRPr="00E0359C">
        <w:rPr>
          <w:bCs/>
          <w:i/>
        </w:rPr>
        <w:t>.</w:t>
      </w:r>
      <w:r w:rsidRPr="00E0359C">
        <w:rPr>
          <w:bCs/>
          <w:iCs/>
        </w:rPr>
        <w:t xml:space="preserve"> </w:t>
      </w:r>
      <w:r w:rsidRPr="00E0359C">
        <w:rPr>
          <w:bCs/>
        </w:rPr>
        <w:t>(2020). Snake oil or hard struggle? Research to address the reality of social injustice in education.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4422FFC3" w14:textId="77777777" w:rsidR="00C9778C" w:rsidRPr="00E0359C" w:rsidRDefault="00C9778C" w:rsidP="00C9778C">
      <w:pPr>
        <w:spacing w:after="120"/>
        <w:ind w:left="567" w:hanging="567"/>
      </w:pPr>
      <w:r w:rsidRPr="00E0359C">
        <w:rPr>
          <w:iCs/>
        </w:rPr>
        <w:t>Minty, Sarah</w:t>
      </w:r>
      <w:r w:rsidRPr="00E0359C">
        <w:rPr>
          <w:bCs/>
          <w:iCs/>
        </w:rPr>
        <w:t xml:space="preserve">. </w:t>
      </w:r>
      <w:r w:rsidRPr="00E0359C">
        <w:rPr>
          <w:bCs/>
        </w:rPr>
        <w:t xml:space="preserve">(2020). </w:t>
      </w:r>
      <w:r w:rsidRPr="00E0359C">
        <w:rPr>
          <w:shd w:val="clear" w:color="auto" w:fill="FFFFFF"/>
        </w:rPr>
        <w:t>Ability to learn, or ability to pay? How family and finance influence young people’s higher education decisions in free tuition Scotland</w:t>
      </w:r>
      <w:r w:rsidRPr="00E0359C">
        <w:rPr>
          <w:bCs/>
        </w:rPr>
        <w:t>.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0DBABE00" w14:textId="77777777" w:rsidR="00C9778C" w:rsidRPr="00E0359C" w:rsidRDefault="00C9778C" w:rsidP="00C9778C">
      <w:pPr>
        <w:spacing w:after="120"/>
        <w:ind w:left="567" w:hanging="567"/>
      </w:pPr>
      <w:r w:rsidRPr="00E0359C">
        <w:t xml:space="preserve">Moore, Barrington. (1967). </w:t>
      </w:r>
      <w:r w:rsidRPr="00E0359C">
        <w:rPr>
          <w:i/>
        </w:rPr>
        <w:t>Social origins of dictatorship and democracy: Lord and peasant in the making of the modern world</w:t>
      </w:r>
      <w:r w:rsidRPr="00E0359C">
        <w:t>. Harmondsworth: Penguin.</w:t>
      </w:r>
    </w:p>
    <w:p w14:paraId="5017C2FE" w14:textId="77777777" w:rsidR="00C9778C" w:rsidRPr="00E0359C" w:rsidRDefault="00C9778C" w:rsidP="00C9778C">
      <w:pPr>
        <w:spacing w:after="120"/>
        <w:ind w:left="567" w:hanging="567"/>
      </w:pPr>
      <w:r w:rsidRPr="00E0359C">
        <w:rPr>
          <w:bCs/>
          <w:iCs/>
        </w:rPr>
        <w:t xml:space="preserve">Moreau, Marie-Pierre. (2020). </w:t>
      </w:r>
      <w:r w:rsidRPr="00E0359C">
        <w:rPr>
          <w:bCs/>
          <w:noProof/>
        </w:rPr>
        <w:t>The masculinisation of the teaching profession or gynophobia as education policy. I</w:t>
      </w:r>
      <w:r w:rsidRPr="00E0359C">
        <w:rPr>
          <w:bCs/>
        </w:rPr>
        <w:t>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3928F66F" w14:textId="77777777" w:rsidR="00342CCE" w:rsidRPr="00E0359C" w:rsidRDefault="00342CCE" w:rsidP="00342CCE">
      <w:pPr>
        <w:spacing w:after="120"/>
        <w:ind w:left="567" w:hanging="567"/>
        <w:rPr>
          <w:b/>
          <w:color w:val="111111"/>
        </w:rPr>
      </w:pPr>
      <w:proofErr w:type="spellStart"/>
      <w:r w:rsidRPr="00E0359C">
        <w:t>Nachtwey</w:t>
      </w:r>
      <w:proofErr w:type="spellEnd"/>
      <w:r w:rsidRPr="00E0359C">
        <w:t xml:space="preserve">, Oliver. (2018 [2016]). </w:t>
      </w:r>
      <w:r w:rsidRPr="00E0359C">
        <w:rPr>
          <w:i/>
          <w:iCs/>
        </w:rPr>
        <w:t xml:space="preserve">Germany’s hidden crisis: Social decline in the heart of Europe.     </w:t>
      </w:r>
      <w:r w:rsidRPr="00E0359C">
        <w:t xml:space="preserve">London: Verso. [Translated by David </w:t>
      </w:r>
      <w:proofErr w:type="spellStart"/>
      <w:r w:rsidRPr="00E0359C">
        <w:t>Fernbach</w:t>
      </w:r>
      <w:proofErr w:type="spellEnd"/>
      <w:r w:rsidRPr="00E0359C">
        <w:t xml:space="preserve"> and Loren </w:t>
      </w:r>
      <w:proofErr w:type="spellStart"/>
      <w:r w:rsidRPr="00E0359C">
        <w:t>Balhorn</w:t>
      </w:r>
      <w:proofErr w:type="spellEnd"/>
      <w:r w:rsidRPr="00E0359C">
        <w:t xml:space="preserve">, from Oliver </w:t>
      </w:r>
      <w:proofErr w:type="spellStart"/>
      <w:r w:rsidRPr="00E0359C">
        <w:t>Nachtwey</w:t>
      </w:r>
      <w:proofErr w:type="spellEnd"/>
      <w:r w:rsidRPr="00E0359C">
        <w:t xml:space="preserve">. (2016). </w:t>
      </w:r>
      <w:r w:rsidRPr="00E0359C">
        <w:rPr>
          <w:rStyle w:val="a-size-large"/>
          <w:rFonts w:cstheme="minorHAnsi"/>
          <w:i/>
          <w:color w:val="111111"/>
          <w:szCs w:val="22"/>
        </w:rPr>
        <w:t xml:space="preserve">Die </w:t>
      </w:r>
      <w:proofErr w:type="spellStart"/>
      <w:r w:rsidRPr="00E0359C">
        <w:rPr>
          <w:rStyle w:val="a-size-large"/>
          <w:rFonts w:cstheme="minorHAnsi"/>
          <w:i/>
          <w:color w:val="111111"/>
          <w:szCs w:val="22"/>
        </w:rPr>
        <w:t>abstiegsgesellschaft</w:t>
      </w:r>
      <w:proofErr w:type="spellEnd"/>
      <w:r w:rsidRPr="00E0359C">
        <w:rPr>
          <w:rStyle w:val="a-size-large"/>
          <w:rFonts w:cstheme="minorHAnsi"/>
          <w:i/>
          <w:color w:val="111111"/>
          <w:szCs w:val="22"/>
        </w:rPr>
        <w:t xml:space="preserve">: </w:t>
      </w:r>
      <w:proofErr w:type="spellStart"/>
      <w:r w:rsidRPr="00E0359C">
        <w:rPr>
          <w:rStyle w:val="a-size-large"/>
          <w:rFonts w:cstheme="minorHAnsi"/>
          <w:i/>
          <w:color w:val="111111"/>
          <w:szCs w:val="22"/>
        </w:rPr>
        <w:t>Über</w:t>
      </w:r>
      <w:proofErr w:type="spellEnd"/>
      <w:r w:rsidRPr="00E0359C">
        <w:rPr>
          <w:rStyle w:val="a-size-large"/>
          <w:rFonts w:cstheme="minorHAnsi"/>
          <w:i/>
          <w:color w:val="111111"/>
          <w:szCs w:val="22"/>
        </w:rPr>
        <w:t xml:space="preserve"> das </w:t>
      </w:r>
      <w:proofErr w:type="spellStart"/>
      <w:r w:rsidRPr="00E0359C">
        <w:rPr>
          <w:rStyle w:val="a-size-large"/>
          <w:rFonts w:cstheme="minorHAnsi"/>
          <w:i/>
          <w:color w:val="111111"/>
          <w:szCs w:val="22"/>
        </w:rPr>
        <w:t>aufbegehren</w:t>
      </w:r>
      <w:proofErr w:type="spellEnd"/>
      <w:r w:rsidRPr="00E0359C">
        <w:rPr>
          <w:rStyle w:val="a-size-large"/>
          <w:rFonts w:cstheme="minorHAnsi"/>
          <w:i/>
          <w:color w:val="111111"/>
          <w:szCs w:val="22"/>
        </w:rPr>
        <w:t xml:space="preserve"> in der </w:t>
      </w:r>
      <w:proofErr w:type="spellStart"/>
      <w:r w:rsidRPr="00E0359C">
        <w:rPr>
          <w:rStyle w:val="a-size-large"/>
          <w:rFonts w:cstheme="minorHAnsi"/>
          <w:i/>
          <w:color w:val="111111"/>
          <w:szCs w:val="22"/>
        </w:rPr>
        <w:t>regressiven</w:t>
      </w:r>
      <w:proofErr w:type="spellEnd"/>
      <w:r w:rsidRPr="00E0359C">
        <w:rPr>
          <w:rStyle w:val="a-size-large"/>
          <w:rFonts w:cstheme="minorHAnsi"/>
          <w:i/>
          <w:color w:val="111111"/>
          <w:szCs w:val="22"/>
        </w:rPr>
        <w:t xml:space="preserve"> </w:t>
      </w:r>
      <w:proofErr w:type="spellStart"/>
      <w:r w:rsidRPr="00E0359C">
        <w:rPr>
          <w:rStyle w:val="a-size-large"/>
          <w:rFonts w:cstheme="minorHAnsi"/>
          <w:i/>
          <w:color w:val="111111"/>
          <w:szCs w:val="22"/>
        </w:rPr>
        <w:t>moderne</w:t>
      </w:r>
      <w:proofErr w:type="spellEnd"/>
      <w:r w:rsidRPr="00E0359C">
        <w:rPr>
          <w:rStyle w:val="a-size-large"/>
          <w:rFonts w:cstheme="minorHAnsi"/>
          <w:color w:val="111111"/>
          <w:szCs w:val="22"/>
        </w:rPr>
        <w:t xml:space="preserve">. Berlin: </w:t>
      </w:r>
      <w:proofErr w:type="spellStart"/>
      <w:r w:rsidRPr="00E0359C">
        <w:rPr>
          <w:rStyle w:val="a-size-large"/>
          <w:rFonts w:cstheme="minorHAnsi"/>
          <w:color w:val="111111"/>
          <w:szCs w:val="22"/>
        </w:rPr>
        <w:t>Suhrkamp</w:t>
      </w:r>
      <w:proofErr w:type="spellEnd"/>
      <w:r w:rsidRPr="00E0359C">
        <w:rPr>
          <w:rStyle w:val="a-size-large"/>
          <w:rFonts w:cstheme="minorHAnsi"/>
          <w:color w:val="111111"/>
          <w:szCs w:val="22"/>
        </w:rPr>
        <w:t xml:space="preserve">]. </w:t>
      </w:r>
    </w:p>
    <w:p w14:paraId="3558C7C7" w14:textId="77777777" w:rsidR="00C9778C" w:rsidRPr="00E0359C" w:rsidRDefault="00C9778C" w:rsidP="00C9778C">
      <w:pPr>
        <w:spacing w:after="120"/>
        <w:ind w:left="567" w:hanging="567"/>
        <w:rPr>
          <w:shd w:val="clear" w:color="auto" w:fill="FFFFFF"/>
        </w:rPr>
      </w:pPr>
      <w:r w:rsidRPr="00E0359C">
        <w:rPr>
          <w:shd w:val="clear" w:color="auto" w:fill="FFFFFF"/>
        </w:rPr>
        <w:t>Nicaise, Ides (Ed.). (2000)</w:t>
      </w:r>
      <w:r w:rsidRPr="00E0359C">
        <w:rPr>
          <w:i/>
          <w:shd w:val="clear" w:color="auto" w:fill="FFFFFF"/>
        </w:rPr>
        <w:t>. The right to learn: Educational strategies for socially excluded youth in Europe</w:t>
      </w:r>
      <w:r w:rsidRPr="00E0359C">
        <w:rPr>
          <w:shd w:val="clear" w:color="auto" w:fill="FFFFFF"/>
        </w:rPr>
        <w:t>. Bristol: Policy Press.</w:t>
      </w:r>
    </w:p>
    <w:p w14:paraId="29F4F4BC" w14:textId="77777777" w:rsidR="00C9778C" w:rsidRPr="00E0359C" w:rsidRDefault="00C9778C" w:rsidP="00C9778C">
      <w:pPr>
        <w:spacing w:after="120"/>
        <w:ind w:left="567" w:hanging="567"/>
        <w:rPr>
          <w:rStyle w:val="fn"/>
          <w:rFonts w:cstheme="minorHAnsi"/>
          <w:szCs w:val="22"/>
        </w:rPr>
      </w:pPr>
      <w:r w:rsidRPr="00E0359C">
        <w:lastRenderedPageBreak/>
        <w:t xml:space="preserve">Nicoll, Katherine, Andreas </w:t>
      </w:r>
      <w:proofErr w:type="spellStart"/>
      <w:r w:rsidRPr="00E0359C">
        <w:t>Fejes</w:t>
      </w:r>
      <w:proofErr w:type="spellEnd"/>
      <w:r w:rsidRPr="00E0359C">
        <w:t xml:space="preserve">, Maria Olson, Magnus </w:t>
      </w:r>
      <w:proofErr w:type="spellStart"/>
      <w:r w:rsidRPr="00E0359C">
        <w:t>Dahlstedt</w:t>
      </w:r>
      <w:proofErr w:type="spellEnd"/>
      <w:r w:rsidRPr="00E0359C">
        <w:t xml:space="preserve"> and Gert Biesta. (2013). Opening discourses of citizenship education: A theorization with Foucault. </w:t>
      </w:r>
      <w:r w:rsidRPr="00E0359C">
        <w:rPr>
          <w:i/>
        </w:rPr>
        <w:t>Journal of Education Policy,</w:t>
      </w:r>
      <w:r w:rsidRPr="00E0359C">
        <w:t xml:space="preserve"> </w:t>
      </w:r>
      <w:r w:rsidRPr="00E0359C">
        <w:rPr>
          <w:i/>
          <w:iCs/>
        </w:rPr>
        <w:t>28</w:t>
      </w:r>
      <w:r w:rsidRPr="00E0359C">
        <w:t xml:space="preserve">(6), 828–846. </w:t>
      </w:r>
    </w:p>
    <w:p w14:paraId="355DA92A" w14:textId="77777777" w:rsidR="00C9778C" w:rsidRPr="00E0359C" w:rsidRDefault="00C9778C" w:rsidP="00C9778C">
      <w:pPr>
        <w:spacing w:after="120"/>
        <w:ind w:left="567" w:hanging="567"/>
        <w:rPr>
          <w:rStyle w:val="Strong"/>
          <w:rFonts w:cstheme="minorHAnsi"/>
          <w:b w:val="0"/>
          <w:szCs w:val="22"/>
          <w:bdr w:val="none" w:sz="0" w:space="0" w:color="auto" w:frame="1"/>
        </w:rPr>
      </w:pPr>
      <w:r w:rsidRPr="00E0359C">
        <w:rPr>
          <w:rStyle w:val="Strong"/>
          <w:rFonts w:cstheme="minorHAnsi"/>
          <w:b w:val="0"/>
          <w:szCs w:val="22"/>
          <w:bdr w:val="none" w:sz="0" w:space="0" w:color="auto" w:frame="1"/>
        </w:rPr>
        <w:t xml:space="preserve">Norton, Michael, and Dan </w:t>
      </w:r>
      <w:proofErr w:type="spellStart"/>
      <w:r w:rsidRPr="00E0359C">
        <w:rPr>
          <w:rStyle w:val="Strong"/>
          <w:rFonts w:cstheme="minorHAnsi"/>
          <w:b w:val="0"/>
          <w:szCs w:val="22"/>
          <w:bdr w:val="none" w:sz="0" w:space="0" w:color="auto" w:frame="1"/>
        </w:rPr>
        <w:t>Ariely</w:t>
      </w:r>
      <w:proofErr w:type="spellEnd"/>
      <w:r w:rsidRPr="00E0359C">
        <w:rPr>
          <w:rStyle w:val="Strong"/>
          <w:rFonts w:cstheme="minorHAnsi"/>
          <w:b w:val="0"/>
          <w:szCs w:val="22"/>
          <w:bdr w:val="none" w:sz="0" w:space="0" w:color="auto" w:frame="1"/>
        </w:rPr>
        <w:t xml:space="preserve">. (2011). Building a better America – one quartile at a time. </w:t>
      </w:r>
      <w:r w:rsidRPr="00E0359C">
        <w:rPr>
          <w:rStyle w:val="Strong"/>
          <w:rFonts w:cstheme="minorHAnsi"/>
          <w:b w:val="0"/>
          <w:i/>
          <w:szCs w:val="22"/>
          <w:bdr w:val="none" w:sz="0" w:space="0" w:color="auto" w:frame="1"/>
        </w:rPr>
        <w:t>Perspectives on Psychological Science,</w:t>
      </w:r>
      <w:r w:rsidRPr="00E0359C">
        <w:rPr>
          <w:rStyle w:val="Strong"/>
          <w:rFonts w:cstheme="minorHAnsi"/>
          <w:b w:val="0"/>
          <w:szCs w:val="22"/>
          <w:bdr w:val="none" w:sz="0" w:space="0" w:color="auto" w:frame="1"/>
        </w:rPr>
        <w:t xml:space="preserve"> </w:t>
      </w:r>
      <w:r w:rsidRPr="00E0359C">
        <w:rPr>
          <w:rStyle w:val="Strong"/>
          <w:rFonts w:cstheme="minorHAnsi"/>
          <w:b w:val="0"/>
          <w:i/>
          <w:iCs/>
          <w:szCs w:val="22"/>
          <w:bdr w:val="none" w:sz="0" w:space="0" w:color="auto" w:frame="1"/>
        </w:rPr>
        <w:t>6</w:t>
      </w:r>
      <w:r w:rsidRPr="00E0359C">
        <w:rPr>
          <w:rStyle w:val="Strong"/>
          <w:rFonts w:cstheme="minorHAnsi"/>
          <w:b w:val="0"/>
          <w:szCs w:val="22"/>
          <w:bdr w:val="none" w:sz="0" w:space="0" w:color="auto" w:frame="1"/>
        </w:rPr>
        <w:t>(9), 9</w:t>
      </w:r>
      <w:bookmarkStart w:id="0" w:name="_Hlk32866655"/>
      <w:r w:rsidRPr="00E0359C">
        <w:t>–</w:t>
      </w:r>
      <w:bookmarkEnd w:id="0"/>
      <w:r w:rsidRPr="00E0359C">
        <w:rPr>
          <w:rStyle w:val="Strong"/>
          <w:rFonts w:cstheme="minorHAnsi"/>
          <w:b w:val="0"/>
          <w:szCs w:val="22"/>
          <w:bdr w:val="none" w:sz="0" w:space="0" w:color="auto" w:frame="1"/>
        </w:rPr>
        <w:t>12.</w:t>
      </w:r>
    </w:p>
    <w:p w14:paraId="652F7411" w14:textId="77777777" w:rsidR="00C9778C" w:rsidRPr="00E0359C" w:rsidRDefault="00C9778C" w:rsidP="00C9778C">
      <w:pPr>
        <w:spacing w:after="120"/>
        <w:ind w:left="567" w:hanging="567"/>
      </w:pPr>
      <w:r w:rsidRPr="00E0359C">
        <w:t xml:space="preserve">OECD [Organisation for Economic Cooperation and Development]. (2012). </w:t>
      </w:r>
      <w:r w:rsidRPr="00E0359C">
        <w:rPr>
          <w:i/>
        </w:rPr>
        <w:t>Education at a glance 2012: OECD indicators</w:t>
      </w:r>
      <w:r w:rsidRPr="00E0359C">
        <w:t>. Paris: OECD Publishing.</w:t>
      </w:r>
    </w:p>
    <w:p w14:paraId="688498C6" w14:textId="16B6BF71" w:rsidR="00C9778C" w:rsidRPr="00E0359C" w:rsidRDefault="00C9778C" w:rsidP="00C9778C">
      <w:pPr>
        <w:spacing w:after="120"/>
        <w:ind w:left="567" w:hanging="567"/>
      </w:pPr>
      <w:proofErr w:type="spellStart"/>
      <w:r w:rsidRPr="00E0359C">
        <w:t>Olusoga</w:t>
      </w:r>
      <w:proofErr w:type="spellEnd"/>
      <w:r w:rsidRPr="00E0359C">
        <w:t xml:space="preserve">, David. (2019). </w:t>
      </w:r>
      <w:r w:rsidRPr="00E0359C">
        <w:rPr>
          <w:bCs/>
        </w:rPr>
        <w:t xml:space="preserve">I dislike the link to empire, but it felt wrong to turn down an OBE. </w:t>
      </w:r>
      <w:r w:rsidRPr="00E0359C">
        <w:rPr>
          <w:bCs/>
          <w:i/>
        </w:rPr>
        <w:t>The Observer</w:t>
      </w:r>
      <w:r w:rsidRPr="00E0359C">
        <w:rPr>
          <w:bCs/>
        </w:rPr>
        <w:t xml:space="preserve">, </w:t>
      </w:r>
      <w:r w:rsidRPr="00E0359C">
        <w:t xml:space="preserve">6 January. Retrieved from </w:t>
      </w:r>
      <w:r w:rsidRPr="00E51434">
        <w:t>https://www.theguardian.com/commentisfree/2019/jan/06/i-dislike-the-link-to-empire-but-it-felt-wrong-to-reject-an-obe</w:t>
      </w:r>
    </w:p>
    <w:p w14:paraId="779374E7" w14:textId="77777777" w:rsidR="00BB5921" w:rsidRPr="00E0359C" w:rsidRDefault="00BB5921" w:rsidP="00BB5921">
      <w:pPr>
        <w:spacing w:after="120"/>
        <w:ind w:left="567" w:hanging="567"/>
      </w:pPr>
      <w:r w:rsidRPr="00E0359C">
        <w:t xml:space="preserve">ONS. [Office for National Statistics]. (2015). </w:t>
      </w:r>
      <w:r w:rsidRPr="00E0359C">
        <w:rPr>
          <w:i/>
        </w:rPr>
        <w:t>UK Labour Market: October 2015</w:t>
      </w:r>
      <w:r w:rsidRPr="00E0359C">
        <w:t>. London: ONS.</w:t>
      </w:r>
    </w:p>
    <w:p w14:paraId="41E5D3A6" w14:textId="77777777" w:rsidR="00C9778C" w:rsidRPr="00E0359C" w:rsidRDefault="00C9778C" w:rsidP="00C9778C">
      <w:pPr>
        <w:spacing w:after="120"/>
        <w:ind w:left="567" w:hanging="567"/>
        <w:rPr>
          <w:b/>
        </w:rPr>
      </w:pPr>
      <w:r w:rsidRPr="00E0359C">
        <w:t xml:space="preserve">ONS. (2018a). </w:t>
      </w:r>
      <w:r w:rsidRPr="00E0359C">
        <w:rPr>
          <w:i/>
        </w:rPr>
        <w:t>Household disposable income and inequality in the UK: financial year ending 2017,</w:t>
      </w:r>
      <w:r w:rsidRPr="00E0359C">
        <w:t xml:space="preserve"> Table 3.1a. London: ONS. </w:t>
      </w:r>
    </w:p>
    <w:p w14:paraId="28F55A7A" w14:textId="77777777" w:rsidR="00C9778C" w:rsidRPr="00E0359C" w:rsidRDefault="00C9778C" w:rsidP="00C9778C">
      <w:pPr>
        <w:spacing w:after="120"/>
        <w:ind w:left="567" w:hanging="567"/>
        <w:rPr>
          <w:bCs/>
        </w:rPr>
      </w:pPr>
      <w:r w:rsidRPr="00E0359C">
        <w:t xml:space="preserve">ONS. (2018b). </w:t>
      </w:r>
      <w:r w:rsidRPr="00E0359C">
        <w:rPr>
          <w:i/>
        </w:rPr>
        <w:t>Wealth in Great Britain Wave 4, 2014 to 2016</w:t>
      </w:r>
      <w:r w:rsidRPr="00E0359C">
        <w:t xml:space="preserve">. London: ONS. </w:t>
      </w:r>
    </w:p>
    <w:p w14:paraId="045653A9" w14:textId="76627611" w:rsidR="00C9778C" w:rsidRPr="00E0359C" w:rsidRDefault="00C9778C" w:rsidP="00C9778C">
      <w:pPr>
        <w:spacing w:after="120"/>
        <w:ind w:left="567" w:hanging="567"/>
      </w:pPr>
      <w:r w:rsidRPr="00E0359C">
        <w:rPr>
          <w:bCs/>
          <w:iCs/>
        </w:rPr>
        <w:t>Osgood, Jayne</w:t>
      </w:r>
      <w:r w:rsidRPr="00E0359C">
        <w:rPr>
          <w:bCs/>
          <w:i/>
        </w:rPr>
        <w:t>.</w:t>
      </w:r>
      <w:r w:rsidRPr="00E0359C">
        <w:rPr>
          <w:bCs/>
          <w:iCs/>
        </w:rPr>
        <w:t xml:space="preserve"> </w:t>
      </w:r>
      <w:r w:rsidRPr="00E0359C">
        <w:rPr>
          <w:bCs/>
        </w:rPr>
        <w:t xml:space="preserve">(2020). </w:t>
      </w:r>
      <w:r w:rsidR="006E6CA5" w:rsidRPr="00965D20">
        <w:t>In pursuit of worldly justice in Early Childhood Education: bringing critique and creation into productive partnership for the public good</w:t>
      </w:r>
      <w:r w:rsidRPr="00E0359C">
        <w:rPr>
          <w:bCs/>
        </w:rPr>
        <w:t>.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7ED42746" w14:textId="77777777" w:rsidR="00C9778C" w:rsidRPr="00E0359C" w:rsidRDefault="00C9778C" w:rsidP="00C9778C">
      <w:pPr>
        <w:spacing w:after="120"/>
        <w:ind w:left="567" w:hanging="567"/>
      </w:pPr>
      <w:r w:rsidRPr="00E0359C">
        <w:t xml:space="preserve">Papadopoulos, George. (1994). </w:t>
      </w:r>
      <w:r w:rsidRPr="00E0359C">
        <w:rPr>
          <w:i/>
        </w:rPr>
        <w:t>Education 1960</w:t>
      </w:r>
      <w:r w:rsidRPr="00E0359C">
        <w:t>–</w:t>
      </w:r>
      <w:r w:rsidRPr="00E0359C">
        <w:rPr>
          <w:i/>
        </w:rPr>
        <w:t>1990: The OECD Perspective</w:t>
      </w:r>
      <w:r w:rsidRPr="00E0359C">
        <w:t xml:space="preserve">. Paris: OECD. </w:t>
      </w:r>
    </w:p>
    <w:p w14:paraId="2BF3A111" w14:textId="77777777" w:rsidR="00C9778C" w:rsidRPr="00E0359C" w:rsidRDefault="00C9778C" w:rsidP="00C9778C">
      <w:pPr>
        <w:spacing w:after="120"/>
        <w:ind w:left="567" w:hanging="567"/>
      </w:pPr>
      <w:r w:rsidRPr="00E0359C">
        <w:t xml:space="preserve">Pinker, Steven. (2018). </w:t>
      </w:r>
      <w:r w:rsidRPr="00E0359C">
        <w:rPr>
          <w:i/>
        </w:rPr>
        <w:t>Enlightenment now: The case for reason, science, humanism and progress</w:t>
      </w:r>
      <w:r w:rsidRPr="00E0359C">
        <w:t>. London: Allen Lane.</w:t>
      </w:r>
    </w:p>
    <w:p w14:paraId="3C76CDBC" w14:textId="77777777" w:rsidR="00C9778C" w:rsidRPr="00E0359C" w:rsidRDefault="00C9778C" w:rsidP="00C9778C">
      <w:pPr>
        <w:spacing w:after="120"/>
        <w:ind w:left="567" w:hanging="567"/>
      </w:pPr>
      <w:r w:rsidRPr="00E0359C">
        <w:t xml:space="preserve">Rawls, John. (1971). </w:t>
      </w:r>
      <w:r w:rsidRPr="00E0359C">
        <w:rPr>
          <w:i/>
          <w:iCs/>
        </w:rPr>
        <w:t>A theory of justice</w:t>
      </w:r>
      <w:r w:rsidRPr="00E0359C">
        <w:t>. Cambridge MA: Harvard University Press</w:t>
      </w:r>
    </w:p>
    <w:p w14:paraId="34BF86DB" w14:textId="77777777" w:rsidR="00C9778C" w:rsidRPr="00E0359C" w:rsidRDefault="00C9778C" w:rsidP="00C9778C">
      <w:pPr>
        <w:spacing w:after="120"/>
        <w:ind w:left="567" w:hanging="567"/>
      </w:pPr>
      <w:r w:rsidRPr="00E0359C">
        <w:rPr>
          <w:bCs/>
          <w:iCs/>
        </w:rPr>
        <w:t xml:space="preserve">Read, Barbara and Carole </w:t>
      </w:r>
      <w:proofErr w:type="spellStart"/>
      <w:r w:rsidRPr="00E0359C">
        <w:rPr>
          <w:bCs/>
          <w:iCs/>
        </w:rPr>
        <w:t>Leathwood</w:t>
      </w:r>
      <w:proofErr w:type="spellEnd"/>
      <w:r w:rsidRPr="00E0359C">
        <w:rPr>
          <w:bCs/>
          <w:iCs/>
        </w:rPr>
        <w:t xml:space="preserve">. </w:t>
      </w:r>
      <w:r w:rsidRPr="00E0359C">
        <w:rPr>
          <w:bCs/>
        </w:rPr>
        <w:t>(2020). Gender and the politics of knowledge in the academy.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3D514AB3" w14:textId="032AF4C0" w:rsidR="005D4CC1" w:rsidRPr="00E0359C" w:rsidRDefault="005D4CC1" w:rsidP="005D4CC1">
      <w:pPr>
        <w:spacing w:after="120"/>
        <w:ind w:left="567" w:hanging="567"/>
      </w:pPr>
      <w:r w:rsidRPr="00E0359C">
        <w:t>Reay, Diane. (2006</w:t>
      </w:r>
      <w:r w:rsidR="00F6107B">
        <w:t>a</w:t>
      </w:r>
      <w:r w:rsidRPr="00E0359C">
        <w:t xml:space="preserve">). The zombie stalking English schools: Social class and educational inequality. </w:t>
      </w:r>
      <w:r w:rsidRPr="00E0359C">
        <w:rPr>
          <w:i/>
        </w:rPr>
        <w:t xml:space="preserve">British Journal of Educational Studies, </w:t>
      </w:r>
      <w:r w:rsidRPr="00E0359C">
        <w:rPr>
          <w:i/>
          <w:iCs/>
        </w:rPr>
        <w:t>54</w:t>
      </w:r>
      <w:r w:rsidRPr="00E0359C">
        <w:t>(</w:t>
      </w:r>
      <w:r w:rsidRPr="00E0359C">
        <w:rPr>
          <w:rStyle w:val="apple-converted-space"/>
          <w:rFonts w:cstheme="minorHAnsi"/>
          <w:szCs w:val="22"/>
        </w:rPr>
        <w:t>3),</w:t>
      </w:r>
      <w:r w:rsidRPr="00E0359C">
        <w:t xml:space="preserve"> 288</w:t>
      </w:r>
      <w:r w:rsidRPr="00E0359C">
        <w:rPr>
          <w:rFonts w:ascii="Calibri" w:hAnsi="Calibri" w:cs="Calibri"/>
          <w:szCs w:val="22"/>
        </w:rPr>
        <w:t>–</w:t>
      </w:r>
      <w:r w:rsidRPr="00E0359C">
        <w:t>307.</w:t>
      </w:r>
    </w:p>
    <w:p w14:paraId="72AB7709" w14:textId="62E25213" w:rsidR="005D4CC1" w:rsidRPr="00E0359C" w:rsidRDefault="005D4CC1" w:rsidP="005D4CC1">
      <w:pPr>
        <w:spacing w:after="120"/>
        <w:ind w:left="567" w:hanging="567"/>
      </w:pPr>
      <w:r w:rsidRPr="00E0359C">
        <w:rPr>
          <w:shd w:val="clear" w:color="auto" w:fill="FFFFFF"/>
        </w:rPr>
        <w:t xml:space="preserve">Reay, Diane. (2011). Schooling for democracy: A common school and a common university? A response to ‘Schooling for democracy’. </w:t>
      </w:r>
      <w:r w:rsidRPr="00E0359C">
        <w:rPr>
          <w:rStyle w:val="Emphasis"/>
          <w:rFonts w:cstheme="minorHAnsi"/>
          <w:szCs w:val="22"/>
          <w:bdr w:val="none" w:sz="0" w:space="0" w:color="auto" w:frame="1"/>
          <w:shd w:val="clear" w:color="auto" w:fill="FFFFFF"/>
        </w:rPr>
        <w:t>Democracy and Education,</w:t>
      </w:r>
      <w:r w:rsidRPr="00E0359C">
        <w:rPr>
          <w:i/>
          <w:iCs/>
          <w:shd w:val="clear" w:color="auto" w:fill="FFFFFF"/>
        </w:rPr>
        <w:t xml:space="preserve"> 19</w:t>
      </w:r>
      <w:r w:rsidRPr="00E0359C">
        <w:rPr>
          <w:shd w:val="clear" w:color="auto" w:fill="FFFFFF"/>
        </w:rPr>
        <w:t>(1),</w:t>
      </w:r>
      <w:r w:rsidR="000E568A" w:rsidRPr="00E0359C">
        <w:rPr>
          <w:shd w:val="clear" w:color="auto" w:fill="FFFFFF"/>
        </w:rPr>
        <w:t xml:space="preserve"> </w:t>
      </w:r>
      <w:r w:rsidRPr="00E0359C">
        <w:rPr>
          <w:shd w:val="clear" w:color="auto" w:fill="FFFFFF"/>
        </w:rPr>
        <w:t xml:space="preserve">Article 6. Retrieved from https://democracyeducationjournal.org/home/vol19/iss1/6 </w:t>
      </w:r>
    </w:p>
    <w:p w14:paraId="37029572" w14:textId="77777777" w:rsidR="005D4CC1" w:rsidRPr="00E0359C" w:rsidRDefault="005D4CC1" w:rsidP="005D4CC1">
      <w:pPr>
        <w:spacing w:after="120"/>
        <w:ind w:left="567" w:hanging="567"/>
        <w:rPr>
          <w:shd w:val="clear" w:color="auto" w:fill="FFFFFF"/>
        </w:rPr>
      </w:pPr>
      <w:r w:rsidRPr="00E0359C">
        <w:rPr>
          <w:shd w:val="clear" w:color="auto" w:fill="FFFFFF"/>
        </w:rPr>
        <w:t xml:space="preserve">Reay, Diane. (2012). What would a socially just education system look like? Saving the minnows from the pike. </w:t>
      </w:r>
      <w:r w:rsidRPr="00E0359C">
        <w:rPr>
          <w:i/>
          <w:shd w:val="clear" w:color="auto" w:fill="FFFFFF"/>
        </w:rPr>
        <w:t>Journal of Education Policy, 27</w:t>
      </w:r>
      <w:r w:rsidRPr="00E0359C">
        <w:rPr>
          <w:shd w:val="clear" w:color="auto" w:fill="FFFFFF"/>
        </w:rPr>
        <w:t>(5), 587</w:t>
      </w:r>
      <w:r w:rsidRPr="00E0359C">
        <w:t>–</w:t>
      </w:r>
      <w:r w:rsidRPr="00E0359C">
        <w:rPr>
          <w:shd w:val="clear" w:color="auto" w:fill="FFFFFF"/>
        </w:rPr>
        <w:t>577.</w:t>
      </w:r>
    </w:p>
    <w:p w14:paraId="792C15F2" w14:textId="77777777" w:rsidR="005D4CC1" w:rsidRPr="00E0359C" w:rsidRDefault="005D4CC1" w:rsidP="005D4CC1">
      <w:pPr>
        <w:spacing w:after="120"/>
        <w:ind w:left="567" w:hanging="567"/>
      </w:pPr>
      <w:r w:rsidRPr="00E0359C">
        <w:t xml:space="preserve">Reay, Diane. (2017). </w:t>
      </w:r>
      <w:r w:rsidRPr="00E0359C">
        <w:rPr>
          <w:i/>
        </w:rPr>
        <w:t xml:space="preserve">Miseducation: Inequality, education and the working class. </w:t>
      </w:r>
      <w:r w:rsidRPr="00E0359C">
        <w:t>Bristol: Policy Press.</w:t>
      </w:r>
    </w:p>
    <w:p w14:paraId="2B52D575" w14:textId="77777777" w:rsidR="005D4CC1" w:rsidRPr="00E0359C" w:rsidRDefault="005D4CC1" w:rsidP="005D4CC1">
      <w:pPr>
        <w:spacing w:after="120"/>
        <w:ind w:left="567" w:hanging="567"/>
      </w:pPr>
      <w:r w:rsidRPr="00E0359C">
        <w:t xml:space="preserve">Rey, Oliver. (2010). The use of external assessments and the impact on education systems. In Sheila Stoney (Ed.), </w:t>
      </w:r>
      <w:r w:rsidRPr="00E0359C">
        <w:rPr>
          <w:i/>
        </w:rPr>
        <w:t xml:space="preserve">Beyond Lisbon 2010: Perspectives from research and development for education policy in Europe </w:t>
      </w:r>
      <w:r w:rsidRPr="00E0359C">
        <w:t>[CIDREE Yearbook 2010], pp. 239–258. Sint-</w:t>
      </w:r>
      <w:proofErr w:type="spellStart"/>
      <w:r w:rsidRPr="00E0359C">
        <w:t>Katelijne</w:t>
      </w:r>
      <w:proofErr w:type="spellEnd"/>
      <w:r w:rsidRPr="00E0359C">
        <w:t xml:space="preserve">-Waver: Consortium of Institutions for Development and Research in Education in Europe. </w:t>
      </w:r>
    </w:p>
    <w:p w14:paraId="605B3292" w14:textId="77777777" w:rsidR="00C9778C" w:rsidRPr="00E0359C" w:rsidRDefault="00C9778C" w:rsidP="00C9778C">
      <w:pPr>
        <w:spacing w:after="120"/>
        <w:ind w:left="567" w:hanging="567"/>
      </w:pPr>
      <w:proofErr w:type="spellStart"/>
      <w:r w:rsidRPr="00E0359C">
        <w:rPr>
          <w:bdr w:val="none" w:sz="0" w:space="0" w:color="auto" w:frame="1"/>
        </w:rPr>
        <w:t>Rezai-Rashtini</w:t>
      </w:r>
      <w:proofErr w:type="spellEnd"/>
      <w:r w:rsidRPr="00E0359C">
        <w:rPr>
          <w:bdr w:val="none" w:sz="0" w:space="0" w:color="auto" w:frame="1"/>
        </w:rPr>
        <w:t xml:space="preserve">, </w:t>
      </w:r>
      <w:proofErr w:type="spellStart"/>
      <w:r w:rsidRPr="00E0359C">
        <w:rPr>
          <w:bdr w:val="none" w:sz="0" w:space="0" w:color="auto" w:frame="1"/>
        </w:rPr>
        <w:t>Goli</w:t>
      </w:r>
      <w:proofErr w:type="spellEnd"/>
      <w:r w:rsidRPr="00E0359C">
        <w:rPr>
          <w:bdr w:val="none" w:sz="0" w:space="0" w:color="auto" w:frame="1"/>
        </w:rPr>
        <w:t xml:space="preserve">, Allison </w:t>
      </w:r>
      <w:proofErr w:type="spellStart"/>
      <w:r w:rsidRPr="00E0359C">
        <w:rPr>
          <w:bdr w:val="none" w:sz="0" w:space="0" w:color="auto" w:frame="1"/>
        </w:rPr>
        <w:t>Segeren</w:t>
      </w:r>
      <w:proofErr w:type="spellEnd"/>
      <w:r w:rsidRPr="00E0359C">
        <w:rPr>
          <w:bdr w:val="none" w:sz="0" w:space="0" w:color="auto" w:frame="1"/>
        </w:rPr>
        <w:t xml:space="preserve"> and Wayne Martino. (2017). </w:t>
      </w:r>
      <w:r w:rsidRPr="00E0359C">
        <w:rPr>
          <w:color w:val="111111"/>
        </w:rPr>
        <w:t xml:space="preserve">The new articulation of equity education in neoliberal times: The changing conception of social justice in Ontario. </w:t>
      </w:r>
      <w:r w:rsidRPr="00E0359C">
        <w:rPr>
          <w:i/>
        </w:rPr>
        <w:t>Globalisation, Societies and Education,</w:t>
      </w:r>
      <w:r w:rsidRPr="00E0359C">
        <w:rPr>
          <w:i/>
          <w:iCs/>
        </w:rPr>
        <w:t xml:space="preserve"> 15</w:t>
      </w:r>
      <w:r w:rsidRPr="00E0359C">
        <w:t xml:space="preserve">(2), 160–174. </w:t>
      </w:r>
    </w:p>
    <w:p w14:paraId="1E0EAF23" w14:textId="77777777" w:rsidR="00BB5921" w:rsidRPr="00E0359C" w:rsidRDefault="00BB5921" w:rsidP="00BB5921">
      <w:pPr>
        <w:spacing w:after="120"/>
        <w:ind w:left="567" w:hanging="567"/>
      </w:pPr>
      <w:r w:rsidRPr="00E0359C">
        <w:t xml:space="preserve">Rizvi, Fazal. (2013). Equity and marketisation: A brief commentary. </w:t>
      </w:r>
      <w:r w:rsidRPr="00E0359C">
        <w:rPr>
          <w:i/>
        </w:rPr>
        <w:t>Discourse: Studies in the Cultural Politics of Education,</w:t>
      </w:r>
      <w:r w:rsidRPr="00E0359C">
        <w:t xml:space="preserve"> </w:t>
      </w:r>
      <w:r w:rsidRPr="00E0359C">
        <w:rPr>
          <w:i/>
          <w:iCs/>
        </w:rPr>
        <w:t>34</w:t>
      </w:r>
      <w:r w:rsidRPr="00E0359C">
        <w:t xml:space="preserve">(2), 274–278. </w:t>
      </w:r>
    </w:p>
    <w:p w14:paraId="25AFFB5C" w14:textId="77777777" w:rsidR="00C9778C" w:rsidRPr="00E0359C" w:rsidRDefault="00C9778C" w:rsidP="00C9778C">
      <w:pPr>
        <w:spacing w:after="120"/>
        <w:ind w:left="567" w:hanging="567"/>
      </w:pPr>
      <w:r w:rsidRPr="00E0359C">
        <w:rPr>
          <w:spacing w:val="4"/>
          <w:shd w:val="clear" w:color="auto" w:fill="FCFCFC"/>
        </w:rPr>
        <w:lastRenderedPageBreak/>
        <w:t xml:space="preserve">Rizvi, Fazal and Bob Lingard. (2009). The OECD and global shifts in education policy. In Robert Cowen and Andreas </w:t>
      </w:r>
      <w:proofErr w:type="spellStart"/>
      <w:r w:rsidRPr="00E0359C">
        <w:rPr>
          <w:spacing w:val="4"/>
          <w:shd w:val="clear" w:color="auto" w:fill="FCFCFC"/>
        </w:rPr>
        <w:t>Kazamias</w:t>
      </w:r>
      <w:proofErr w:type="spellEnd"/>
      <w:r w:rsidRPr="00E0359C">
        <w:rPr>
          <w:spacing w:val="4"/>
          <w:shd w:val="clear" w:color="auto" w:fill="FCFCFC"/>
        </w:rPr>
        <w:t xml:space="preserve"> (Eds.), </w:t>
      </w:r>
      <w:r w:rsidRPr="00E0359C">
        <w:rPr>
          <w:i/>
          <w:spacing w:val="4"/>
          <w:shd w:val="clear" w:color="auto" w:fill="FCFCFC"/>
        </w:rPr>
        <w:t xml:space="preserve">International handbook of comparative education, </w:t>
      </w:r>
      <w:r w:rsidRPr="00E0359C">
        <w:rPr>
          <w:spacing w:val="4"/>
          <w:shd w:val="clear" w:color="auto" w:fill="FCFCFC"/>
        </w:rPr>
        <w:t xml:space="preserve">pp. </w:t>
      </w:r>
      <w:r w:rsidRPr="00E0359C">
        <w:t>437–453. Dordrecht:</w:t>
      </w:r>
      <w:r w:rsidRPr="00E0359C">
        <w:rPr>
          <w:spacing w:val="4"/>
          <w:shd w:val="clear" w:color="auto" w:fill="FCFCFC"/>
        </w:rPr>
        <w:t xml:space="preserve"> Springer. </w:t>
      </w:r>
    </w:p>
    <w:p w14:paraId="2C4C75BC" w14:textId="77777777" w:rsidR="00C9778C" w:rsidRPr="00E0359C" w:rsidRDefault="00C9778C" w:rsidP="00C9778C">
      <w:pPr>
        <w:spacing w:after="120"/>
        <w:ind w:left="567" w:hanging="567"/>
      </w:pPr>
      <w:proofErr w:type="spellStart"/>
      <w:r w:rsidRPr="00E0359C">
        <w:t>Rochat</w:t>
      </w:r>
      <w:proofErr w:type="spellEnd"/>
      <w:r w:rsidRPr="00E0359C">
        <w:t xml:space="preserve">, Philippe. (2010). What is really wrong with </w:t>
      </w:r>
      <w:r w:rsidRPr="00E0359C">
        <w:rPr>
          <w:i/>
        </w:rPr>
        <w:t xml:space="preserve">a priori </w:t>
      </w:r>
      <w:r w:rsidRPr="00E0359C">
        <w:t xml:space="preserve">claims of universality? Sampling, validity, process level, and the irresistible drive to reduce. </w:t>
      </w:r>
      <w:proofErr w:type="spellStart"/>
      <w:r w:rsidRPr="00E0359C">
        <w:rPr>
          <w:i/>
        </w:rPr>
        <w:t>Behavioral</w:t>
      </w:r>
      <w:proofErr w:type="spellEnd"/>
      <w:r w:rsidRPr="00E0359C">
        <w:rPr>
          <w:i/>
        </w:rPr>
        <w:t xml:space="preserve"> and Brain Sciences,</w:t>
      </w:r>
      <w:r w:rsidRPr="00E0359C">
        <w:t xml:space="preserve"> </w:t>
      </w:r>
      <w:r w:rsidRPr="00E0359C">
        <w:rPr>
          <w:i/>
          <w:iCs/>
        </w:rPr>
        <w:t>33</w:t>
      </w:r>
      <w:r w:rsidRPr="00E0359C">
        <w:t>(2/3), 107–108.</w:t>
      </w:r>
    </w:p>
    <w:p w14:paraId="0C4D78E7" w14:textId="26CCAB70" w:rsidR="00C9778C" w:rsidRPr="00E0359C" w:rsidRDefault="00C9778C" w:rsidP="00C9778C">
      <w:pPr>
        <w:spacing w:after="120"/>
        <w:ind w:left="567" w:hanging="567"/>
      </w:pPr>
      <w:r w:rsidRPr="00E0359C">
        <w:rPr>
          <w:shd w:val="clear" w:color="auto" w:fill="FFFFFF"/>
        </w:rPr>
        <w:t>Ross, Alistair (Ed.). (2000</w:t>
      </w:r>
      <w:r w:rsidR="001A15BC">
        <w:rPr>
          <w:shd w:val="clear" w:color="auto" w:fill="FFFFFF"/>
        </w:rPr>
        <w:t>a</w:t>
      </w:r>
      <w:r w:rsidRPr="00E0359C">
        <w:rPr>
          <w:shd w:val="clear" w:color="auto" w:fill="FFFFFF"/>
        </w:rPr>
        <w:t xml:space="preserve">). </w:t>
      </w:r>
      <w:r w:rsidRPr="00E0359C">
        <w:rPr>
          <w:i/>
          <w:shd w:val="clear" w:color="auto" w:fill="FFFFFF"/>
        </w:rPr>
        <w:t>Developing identities in Europe: Citizenship education and higher education</w:t>
      </w:r>
      <w:r w:rsidRPr="00E0359C">
        <w:rPr>
          <w:shd w:val="clear" w:color="auto" w:fill="FFFFFF"/>
        </w:rPr>
        <w:t>. London: Children’s Identity and Citizenship in Europe Academic Network.</w:t>
      </w:r>
    </w:p>
    <w:p w14:paraId="406AF241" w14:textId="77777777" w:rsidR="00BB5921" w:rsidRPr="00E0359C" w:rsidRDefault="00BB5921" w:rsidP="00BB5921">
      <w:pPr>
        <w:spacing w:after="120"/>
        <w:ind w:left="567" w:hanging="567"/>
      </w:pPr>
      <w:r w:rsidRPr="00E0359C">
        <w:rPr>
          <w:color w:val="040404"/>
        </w:rPr>
        <w:t xml:space="preserve">Ross, Alistair. (2002). A representative profession: Ethnic minority teachers. In Martin Johnson and Joe </w:t>
      </w:r>
      <w:proofErr w:type="spellStart"/>
      <w:r w:rsidRPr="00E0359C">
        <w:rPr>
          <w:color w:val="040404"/>
        </w:rPr>
        <w:t>Hallgarten</w:t>
      </w:r>
      <w:proofErr w:type="spellEnd"/>
      <w:r w:rsidRPr="00E0359C">
        <w:rPr>
          <w:color w:val="040404"/>
        </w:rPr>
        <w:t xml:space="preserve"> (Eds.),</w:t>
      </w:r>
      <w:r w:rsidRPr="00E0359C">
        <w:rPr>
          <w:i/>
          <w:color w:val="040404"/>
        </w:rPr>
        <w:t xml:space="preserve"> From victims of change to agents of change: The future of the teaching profession,</w:t>
      </w:r>
      <w:r w:rsidRPr="00E0359C">
        <w:rPr>
          <w:color w:val="040404"/>
        </w:rPr>
        <w:t xml:space="preserve"> pp. 101</w:t>
      </w:r>
      <w:r w:rsidRPr="00E0359C">
        <w:t>–</w:t>
      </w:r>
      <w:r w:rsidRPr="00E0359C">
        <w:rPr>
          <w:color w:val="040404"/>
        </w:rPr>
        <w:t>124. London: Institute for Public Policy Research.</w:t>
      </w:r>
    </w:p>
    <w:p w14:paraId="61DC778F" w14:textId="77777777" w:rsidR="00BB5921" w:rsidRPr="00E0359C" w:rsidRDefault="00BB5921" w:rsidP="00BB5921">
      <w:pPr>
        <w:spacing w:after="120"/>
        <w:ind w:left="567" w:hanging="567"/>
      </w:pPr>
      <w:r w:rsidRPr="00E0359C">
        <w:t>Ross, Alistair. (2012). Recruiting and supporting teachers from diverse backgrounds. In Susanna Gonçalves and Markus Carpenter (Eds.),</w:t>
      </w:r>
      <w:r w:rsidRPr="00E0359C">
        <w:rPr>
          <w:i/>
        </w:rPr>
        <w:t xml:space="preserve"> Intercultural education and policies, </w:t>
      </w:r>
      <w:r w:rsidRPr="00E0359C">
        <w:t>pp. 15</w:t>
      </w:r>
      <w:r w:rsidRPr="00E0359C">
        <w:rPr>
          <w:rFonts w:ascii="Calibri" w:hAnsi="Calibri" w:cs="Calibri"/>
          <w:szCs w:val="22"/>
        </w:rPr>
        <w:t>–</w:t>
      </w:r>
      <w:r w:rsidRPr="00E0359C">
        <w:t xml:space="preserve">38. Berne: Peter Lang. </w:t>
      </w:r>
    </w:p>
    <w:p w14:paraId="66EE2966" w14:textId="4D96028E" w:rsidR="00BB5921" w:rsidRPr="00E0359C" w:rsidRDefault="00BB5921" w:rsidP="00BB5921">
      <w:pPr>
        <w:spacing w:after="120"/>
        <w:ind w:left="567" w:hanging="567"/>
        <w:rPr>
          <w:bCs/>
          <w:iCs/>
        </w:rPr>
      </w:pPr>
      <w:r w:rsidRPr="00E0359C">
        <w:rPr>
          <w:bCs/>
          <w:iCs/>
        </w:rPr>
        <w:t>Ross, Alistair. (</w:t>
      </w:r>
      <w:r w:rsidRPr="00E0359C">
        <w:rPr>
          <w:bCs/>
        </w:rPr>
        <w:t>2020</w:t>
      </w:r>
      <w:r w:rsidR="00F40E24" w:rsidRPr="00E0359C">
        <w:rPr>
          <w:bCs/>
        </w:rPr>
        <w:t>a</w:t>
      </w:r>
      <w:r w:rsidRPr="00E0359C">
        <w:rPr>
          <w:bCs/>
        </w:rPr>
        <w:t xml:space="preserve">). The </w:t>
      </w:r>
      <w:r w:rsidRPr="00E0359C">
        <w:rPr>
          <w:bCs/>
          <w:color w:val="222222"/>
        </w:rPr>
        <w:t>construction of political identities: young Europeans’ deliberation on ‘the public good’</w:t>
      </w:r>
      <w:r w:rsidRPr="00E0359C">
        <w:rPr>
          <w:bCs/>
        </w:rPr>
        <w:t>. 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r w:rsidRPr="00E0359C">
        <w:rPr>
          <w:bCs/>
          <w:iCs/>
        </w:rPr>
        <w:t xml:space="preserve"> </w:t>
      </w:r>
    </w:p>
    <w:p w14:paraId="311E95A2" w14:textId="6303841D" w:rsidR="00BB5921" w:rsidRPr="00E0359C" w:rsidRDefault="00BB5921" w:rsidP="00BB5921">
      <w:pPr>
        <w:spacing w:after="120"/>
        <w:ind w:left="567" w:hanging="567"/>
        <w:rPr>
          <w:rFonts w:ascii="Calibri" w:hAnsi="Calibri" w:cs="Calibri"/>
          <w:iCs/>
        </w:rPr>
      </w:pPr>
      <w:r w:rsidRPr="00E0359C">
        <w:rPr>
          <w:bCs/>
          <w:iCs/>
        </w:rPr>
        <w:t>Ross, Alistair</w:t>
      </w:r>
      <w:r w:rsidRPr="00E0359C">
        <w:rPr>
          <w:bCs/>
          <w:i/>
        </w:rPr>
        <w:t>.</w:t>
      </w:r>
      <w:r w:rsidRPr="00E0359C">
        <w:rPr>
          <w:bCs/>
          <w:iCs/>
        </w:rPr>
        <w:t xml:space="preserve"> </w:t>
      </w:r>
      <w:r w:rsidRPr="00E0359C">
        <w:rPr>
          <w:bCs/>
        </w:rPr>
        <w:t>(2020</w:t>
      </w:r>
      <w:r w:rsidR="00F40E24" w:rsidRPr="00E0359C">
        <w:rPr>
          <w:bCs/>
        </w:rPr>
        <w:t>b</w:t>
      </w:r>
      <w:r w:rsidRPr="00E0359C">
        <w:rPr>
          <w:bCs/>
        </w:rPr>
        <w:t xml:space="preserve">). </w:t>
      </w:r>
      <w:r w:rsidR="00605947" w:rsidRPr="00E0359C">
        <w:rPr>
          <w:rFonts w:cstheme="minorHAnsi"/>
        </w:rPr>
        <w:t>The problem of the public good and the implications for researching educational policies for social justice</w:t>
      </w:r>
      <w:r w:rsidR="00186ECF" w:rsidRPr="00E0359C">
        <w:rPr>
          <w:rFonts w:cstheme="minorHAnsi"/>
        </w:rPr>
        <w:t>.</w:t>
      </w:r>
      <w:r w:rsidRPr="00E0359C">
        <w:rPr>
          <w:bCs/>
          <w:iCs/>
        </w:rPr>
        <w:t xml:space="preserve"> </w:t>
      </w:r>
      <w:r w:rsidRPr="00E0359C">
        <w:rPr>
          <w:bCs/>
        </w:rPr>
        <w:t>In Alistair Ross (Ed.),</w:t>
      </w:r>
      <w:r w:rsidRPr="00E0359C">
        <w:rPr>
          <w:rFonts w:ascii="Calibri" w:hAnsi="Calibri" w:cs="Calibri"/>
          <w:i/>
        </w:rPr>
        <w:t xml:space="preserve"> Educational research for social justice,</w:t>
      </w:r>
      <w:r w:rsidRPr="00E0359C">
        <w:rPr>
          <w:rFonts w:ascii="Calibri" w:hAnsi="Calibri" w:cs="Calibri"/>
          <w:iCs/>
        </w:rPr>
        <w:t xml:space="preserve"> pp. xxx</w:t>
      </w:r>
      <w:r w:rsidRPr="00E0359C">
        <w:t>–</w:t>
      </w:r>
      <w:r w:rsidRPr="00E0359C">
        <w:rPr>
          <w:rFonts w:ascii="Calibri" w:hAnsi="Calibri" w:cs="Calibri"/>
          <w:iCs/>
        </w:rPr>
        <w:t>xxx. Berlin: Springer.</w:t>
      </w:r>
    </w:p>
    <w:p w14:paraId="0AFF98CB" w14:textId="77777777" w:rsidR="00BB5921" w:rsidRPr="00E0359C" w:rsidRDefault="00BB5921" w:rsidP="00BB5921">
      <w:pPr>
        <w:spacing w:after="120"/>
        <w:ind w:left="567" w:hanging="567"/>
      </w:pPr>
      <w:r w:rsidRPr="00E0359C">
        <w:t xml:space="preserve">Ross, Alistair and </w:t>
      </w:r>
      <w:proofErr w:type="spellStart"/>
      <w:r w:rsidRPr="00E0359C">
        <w:t>Merryn</w:t>
      </w:r>
      <w:proofErr w:type="spellEnd"/>
      <w:r w:rsidRPr="00E0359C">
        <w:t xml:space="preserve"> Hutchings. </w:t>
      </w:r>
      <w:r w:rsidRPr="00E0359C" w:rsidDel="00CB2D8D">
        <w:t>(</w:t>
      </w:r>
      <w:r w:rsidRPr="00E0359C">
        <w:t>2003</w:t>
      </w:r>
      <w:r w:rsidRPr="00E0359C" w:rsidDel="00CB2D8D">
        <w:t>)</w:t>
      </w:r>
      <w:r w:rsidRPr="00E0359C">
        <w:t xml:space="preserve">. </w:t>
      </w:r>
      <w:r w:rsidRPr="00E0359C">
        <w:rPr>
          <w:i/>
          <w:shd w:val="clear" w:color="auto" w:fill="FFFFFF"/>
        </w:rPr>
        <w:t>Attracting, developing and retaining effective teachers in the United Kingdom of Great Britain and Northern Ireland:</w:t>
      </w:r>
      <w:r w:rsidRPr="00E0359C">
        <w:rPr>
          <w:i/>
        </w:rPr>
        <w:t xml:space="preserve"> OECD country background report.</w:t>
      </w:r>
      <w:r w:rsidRPr="00E0359C">
        <w:t xml:space="preserve"> CBR/UK(2003). Paris: OECD. </w:t>
      </w:r>
    </w:p>
    <w:p w14:paraId="1323F3F6" w14:textId="77777777" w:rsidR="00C9778C" w:rsidRPr="00E0359C" w:rsidRDefault="00C9778C" w:rsidP="00C9778C">
      <w:pPr>
        <w:spacing w:after="120"/>
        <w:ind w:left="567" w:hanging="567"/>
      </w:pPr>
      <w:r w:rsidRPr="00E0359C">
        <w:t xml:space="preserve">Ross, Alistair and Carole </w:t>
      </w:r>
      <w:proofErr w:type="spellStart"/>
      <w:r w:rsidRPr="00E0359C">
        <w:t>Leathwood</w:t>
      </w:r>
      <w:proofErr w:type="spellEnd"/>
      <w:r w:rsidRPr="00E0359C">
        <w:t xml:space="preserve">. (2013). Problematising early school leaving. </w:t>
      </w:r>
      <w:r w:rsidRPr="00E0359C">
        <w:rPr>
          <w:i/>
        </w:rPr>
        <w:t xml:space="preserve">European Journal of Education, </w:t>
      </w:r>
      <w:r w:rsidRPr="00E0359C">
        <w:rPr>
          <w:i/>
          <w:iCs/>
        </w:rPr>
        <w:t>48</w:t>
      </w:r>
      <w:r w:rsidRPr="00E0359C">
        <w:t xml:space="preserve">(3), 405–418. </w:t>
      </w:r>
    </w:p>
    <w:p w14:paraId="3FDDB8E3" w14:textId="77777777" w:rsidR="00C9778C" w:rsidRPr="00E0359C" w:rsidRDefault="00C9778C" w:rsidP="00C9778C">
      <w:pPr>
        <w:spacing w:after="120"/>
        <w:ind w:left="567" w:hanging="567"/>
      </w:pPr>
      <w:proofErr w:type="spellStart"/>
      <w:r w:rsidRPr="00E0359C">
        <w:t>Rozin</w:t>
      </w:r>
      <w:proofErr w:type="spellEnd"/>
      <w:r w:rsidRPr="00E0359C">
        <w:t xml:space="preserve">, Paul. (2001). Social psychology and science: Some lessons from Solomon Asch. </w:t>
      </w:r>
      <w:r w:rsidRPr="00E0359C">
        <w:rPr>
          <w:i/>
        </w:rPr>
        <w:t>Personality and Social Psychology Review,</w:t>
      </w:r>
      <w:r w:rsidRPr="00E0359C">
        <w:t xml:space="preserve"> </w:t>
      </w:r>
      <w:r w:rsidRPr="00E0359C">
        <w:rPr>
          <w:i/>
          <w:iCs/>
        </w:rPr>
        <w:t>5</w:t>
      </w:r>
      <w:r w:rsidRPr="00E0359C">
        <w:t>(1), 2–14.</w:t>
      </w:r>
    </w:p>
    <w:p w14:paraId="380ABBD9" w14:textId="77777777" w:rsidR="00C9778C" w:rsidRPr="00E0359C" w:rsidRDefault="00C9778C" w:rsidP="00C9778C">
      <w:pPr>
        <w:spacing w:after="120"/>
        <w:ind w:left="567" w:hanging="567"/>
        <w:rPr>
          <w:rStyle w:val="Strong"/>
          <w:rFonts w:cstheme="minorHAnsi"/>
          <w:b w:val="0"/>
          <w:szCs w:val="22"/>
          <w:bdr w:val="none" w:sz="0" w:space="0" w:color="auto" w:frame="1"/>
        </w:rPr>
      </w:pPr>
      <w:r w:rsidRPr="00E0359C">
        <w:t xml:space="preserve">Ryan, Chris and Luke </w:t>
      </w:r>
      <w:proofErr w:type="spellStart"/>
      <w:r w:rsidRPr="00E0359C">
        <w:t>Sibieta</w:t>
      </w:r>
      <w:proofErr w:type="spellEnd"/>
      <w:r w:rsidRPr="00E0359C">
        <w:t xml:space="preserve">. (2010). </w:t>
      </w:r>
      <w:r w:rsidRPr="00E0359C">
        <w:rPr>
          <w:i/>
        </w:rPr>
        <w:t>Private schooling in the UK and Australia</w:t>
      </w:r>
      <w:r w:rsidRPr="00E0359C">
        <w:t xml:space="preserve">. London: Institute for Fiscal Studies. </w:t>
      </w:r>
    </w:p>
    <w:p w14:paraId="1A5B842E" w14:textId="77777777" w:rsidR="005D4CC1" w:rsidRPr="00E0359C" w:rsidRDefault="005D4CC1" w:rsidP="005D4CC1">
      <w:pPr>
        <w:spacing w:after="120"/>
        <w:ind w:left="567" w:hanging="567"/>
        <w:rPr>
          <w:color w:val="212121"/>
        </w:rPr>
      </w:pPr>
      <w:proofErr w:type="spellStart"/>
      <w:r w:rsidRPr="00E0359C">
        <w:t>Sardoč</w:t>
      </w:r>
      <w:proofErr w:type="spellEnd"/>
      <w:r w:rsidRPr="00E0359C">
        <w:t xml:space="preserve">, </w:t>
      </w:r>
      <w:proofErr w:type="spellStart"/>
      <w:r w:rsidRPr="00E0359C">
        <w:t>Mitja</w:t>
      </w:r>
      <w:proofErr w:type="spellEnd"/>
      <w:r w:rsidRPr="00E0359C">
        <w:t xml:space="preserve">. (2018). The Language of neoliberal education: Problems, challenges and opportunities. </w:t>
      </w:r>
      <w:proofErr w:type="spellStart"/>
      <w:r w:rsidRPr="00E0359C">
        <w:rPr>
          <w:i/>
        </w:rPr>
        <w:t>Šolsko</w:t>
      </w:r>
      <w:proofErr w:type="spellEnd"/>
      <w:r w:rsidRPr="00E0359C">
        <w:rPr>
          <w:i/>
        </w:rPr>
        <w:t xml:space="preserve"> polje: </w:t>
      </w:r>
      <w:proofErr w:type="spellStart"/>
      <w:r w:rsidRPr="00E0359C">
        <w:rPr>
          <w:i/>
        </w:rPr>
        <w:t>Revija</w:t>
      </w:r>
      <w:proofErr w:type="spellEnd"/>
      <w:r w:rsidRPr="00E0359C">
        <w:rPr>
          <w:i/>
        </w:rPr>
        <w:t xml:space="preserve"> za </w:t>
      </w:r>
      <w:proofErr w:type="spellStart"/>
      <w:r w:rsidRPr="00E0359C">
        <w:rPr>
          <w:i/>
        </w:rPr>
        <w:t>teorijo</w:t>
      </w:r>
      <w:proofErr w:type="spellEnd"/>
      <w:r w:rsidRPr="00E0359C">
        <w:rPr>
          <w:i/>
        </w:rPr>
        <w:t xml:space="preserve"> in </w:t>
      </w:r>
      <w:proofErr w:type="spellStart"/>
      <w:r w:rsidRPr="00E0359C">
        <w:rPr>
          <w:i/>
        </w:rPr>
        <w:t>raziskave</w:t>
      </w:r>
      <w:proofErr w:type="spellEnd"/>
      <w:r w:rsidRPr="00E0359C">
        <w:rPr>
          <w:i/>
        </w:rPr>
        <w:t xml:space="preserve"> </w:t>
      </w:r>
      <w:proofErr w:type="spellStart"/>
      <w:r w:rsidRPr="00E0359C">
        <w:rPr>
          <w:i/>
        </w:rPr>
        <w:t>vzgoje</w:t>
      </w:r>
      <w:proofErr w:type="spellEnd"/>
      <w:r w:rsidRPr="00E0359C">
        <w:rPr>
          <w:i/>
        </w:rPr>
        <w:t xml:space="preserve"> in </w:t>
      </w:r>
      <w:proofErr w:type="spellStart"/>
      <w:r w:rsidRPr="00E0359C">
        <w:rPr>
          <w:i/>
        </w:rPr>
        <w:t>izobraževanja</w:t>
      </w:r>
      <w:proofErr w:type="spellEnd"/>
      <w:r w:rsidRPr="00E0359C">
        <w:t xml:space="preserve"> [</w:t>
      </w:r>
      <w:r w:rsidRPr="00E0359C">
        <w:rPr>
          <w:i/>
        </w:rPr>
        <w:t>The School Field: Journal of Theory and Research in Education</w:t>
      </w:r>
      <w:r w:rsidRPr="00E0359C">
        <w:t xml:space="preserve">], </w:t>
      </w:r>
      <w:r w:rsidRPr="00E0359C">
        <w:rPr>
          <w:i/>
          <w:iCs/>
          <w:color w:val="212121"/>
        </w:rPr>
        <w:t>29</w:t>
      </w:r>
      <w:r w:rsidRPr="00E0359C">
        <w:rPr>
          <w:color w:val="212121"/>
        </w:rPr>
        <w:t>(1</w:t>
      </w:r>
      <w:r w:rsidRPr="00E0359C">
        <w:rPr>
          <w:rFonts w:ascii="Calibri" w:hAnsi="Calibri" w:cs="Calibri"/>
          <w:szCs w:val="22"/>
        </w:rPr>
        <w:t>–</w:t>
      </w:r>
      <w:r w:rsidRPr="00E0359C">
        <w:rPr>
          <w:color w:val="212121"/>
        </w:rPr>
        <w:t>2), 5</w:t>
      </w:r>
      <w:r w:rsidRPr="00E0359C">
        <w:t>–</w:t>
      </w:r>
      <w:r w:rsidRPr="00E0359C">
        <w:rPr>
          <w:color w:val="212121"/>
        </w:rPr>
        <w:t xml:space="preserve">10. </w:t>
      </w:r>
    </w:p>
    <w:p w14:paraId="2961E207" w14:textId="77777777" w:rsidR="00C9778C" w:rsidRPr="00E0359C" w:rsidRDefault="00C9778C" w:rsidP="00C9778C">
      <w:pPr>
        <w:spacing w:after="120"/>
        <w:ind w:left="567" w:hanging="567"/>
        <w:rPr>
          <w:color w:val="212121"/>
        </w:rPr>
      </w:pPr>
      <w:r w:rsidRPr="00E0359C">
        <w:t xml:space="preserve">Sen, Amartya. (1993). Capability and well-being. In Martha Nussbaum and </w:t>
      </w:r>
      <w:proofErr w:type="spellStart"/>
      <w:r w:rsidRPr="00E0359C">
        <w:t>Amyarta</w:t>
      </w:r>
      <w:proofErr w:type="spellEnd"/>
      <w:r w:rsidRPr="00E0359C">
        <w:t xml:space="preserve"> Sen, (Eds.), </w:t>
      </w:r>
      <w:r w:rsidRPr="00E0359C">
        <w:rPr>
          <w:i/>
          <w:iCs/>
        </w:rPr>
        <w:t>The quality of life</w:t>
      </w:r>
      <w:r w:rsidRPr="00E0359C">
        <w:t xml:space="preserve">, pp. 30–53. Oxford, Oxford University Press. </w:t>
      </w:r>
    </w:p>
    <w:p w14:paraId="2B28EA21" w14:textId="77777777" w:rsidR="00C9778C" w:rsidRPr="00E0359C" w:rsidRDefault="00C9778C" w:rsidP="00C9778C">
      <w:pPr>
        <w:spacing w:after="120"/>
        <w:ind w:left="567" w:hanging="567"/>
      </w:pPr>
      <w:r w:rsidRPr="00E0359C">
        <w:t xml:space="preserve">Smith, Adam. (1970 [1776]). </w:t>
      </w:r>
      <w:r w:rsidRPr="00E0359C">
        <w:rPr>
          <w:bCs/>
          <w:i/>
          <w:iCs/>
          <w:shd w:val="clear" w:color="auto" w:fill="FFFFFF"/>
        </w:rPr>
        <w:t>An inquiry into the nature and causes of the wealth of nations</w:t>
      </w:r>
      <w:r w:rsidRPr="00E0359C">
        <w:rPr>
          <w:bCs/>
          <w:iCs/>
          <w:shd w:val="clear" w:color="auto" w:fill="FFFFFF"/>
        </w:rPr>
        <w:t xml:space="preserve">. London: Strahan and Cadell. (Quotations from 1970 edition, edited by Andrew Skinner. London: Penguin). </w:t>
      </w:r>
    </w:p>
    <w:p w14:paraId="5BAAC7AF" w14:textId="77777777" w:rsidR="00C9778C" w:rsidRPr="00E0359C" w:rsidRDefault="00C9778C" w:rsidP="00C9778C">
      <w:pPr>
        <w:spacing w:after="120"/>
        <w:ind w:left="567" w:hanging="567"/>
        <w:rPr>
          <w:rStyle w:val="Strong"/>
          <w:rFonts w:cstheme="minorHAnsi"/>
          <w:b w:val="0"/>
          <w:szCs w:val="22"/>
          <w:bdr w:val="none" w:sz="0" w:space="0" w:color="auto" w:frame="1"/>
        </w:rPr>
      </w:pPr>
      <w:proofErr w:type="spellStart"/>
      <w:r w:rsidRPr="00E0359C">
        <w:rPr>
          <w:rStyle w:val="Strong"/>
          <w:rFonts w:cstheme="minorHAnsi"/>
          <w:b w:val="0"/>
          <w:szCs w:val="22"/>
          <w:bdr w:val="none" w:sz="0" w:space="0" w:color="auto" w:frame="1"/>
        </w:rPr>
        <w:t>Starmans</w:t>
      </w:r>
      <w:proofErr w:type="spellEnd"/>
      <w:r w:rsidRPr="00E0359C">
        <w:rPr>
          <w:rStyle w:val="Strong"/>
          <w:rFonts w:cstheme="minorHAnsi"/>
          <w:b w:val="0"/>
          <w:szCs w:val="22"/>
          <w:bdr w:val="none" w:sz="0" w:space="0" w:color="auto" w:frame="1"/>
        </w:rPr>
        <w:t xml:space="preserve">, Christine, Mark </w:t>
      </w:r>
      <w:proofErr w:type="spellStart"/>
      <w:r w:rsidRPr="00E0359C">
        <w:rPr>
          <w:rStyle w:val="Strong"/>
          <w:rFonts w:cstheme="minorHAnsi"/>
          <w:b w:val="0"/>
          <w:szCs w:val="22"/>
          <w:bdr w:val="none" w:sz="0" w:space="0" w:color="auto" w:frame="1"/>
        </w:rPr>
        <w:t>Sheskin</w:t>
      </w:r>
      <w:proofErr w:type="spellEnd"/>
      <w:r w:rsidRPr="00E0359C">
        <w:rPr>
          <w:rStyle w:val="Strong"/>
          <w:rFonts w:cstheme="minorHAnsi"/>
          <w:b w:val="0"/>
          <w:szCs w:val="22"/>
          <w:bdr w:val="none" w:sz="0" w:space="0" w:color="auto" w:frame="1"/>
        </w:rPr>
        <w:t xml:space="preserve"> and Paul Bloom. (2017). Why people prefer unequal societies. </w:t>
      </w:r>
      <w:r w:rsidRPr="00E0359C">
        <w:rPr>
          <w:rStyle w:val="Strong"/>
          <w:rFonts w:cstheme="minorHAnsi"/>
          <w:b w:val="0"/>
          <w:i/>
          <w:szCs w:val="22"/>
          <w:bdr w:val="none" w:sz="0" w:space="0" w:color="auto" w:frame="1"/>
        </w:rPr>
        <w:t>Nature Human Behaviour,</w:t>
      </w:r>
      <w:r w:rsidRPr="00E0359C">
        <w:rPr>
          <w:rStyle w:val="Strong"/>
          <w:rFonts w:cstheme="minorHAnsi"/>
          <w:b w:val="0"/>
          <w:szCs w:val="22"/>
          <w:bdr w:val="none" w:sz="0" w:space="0" w:color="auto" w:frame="1"/>
        </w:rPr>
        <w:t xml:space="preserve"> </w:t>
      </w:r>
      <w:r w:rsidRPr="00E0359C">
        <w:rPr>
          <w:rStyle w:val="Strong"/>
          <w:rFonts w:cstheme="minorHAnsi"/>
          <w:b w:val="0"/>
          <w:i/>
          <w:iCs/>
          <w:szCs w:val="22"/>
          <w:bdr w:val="none" w:sz="0" w:space="0" w:color="auto" w:frame="1"/>
        </w:rPr>
        <w:t>1</w:t>
      </w:r>
      <w:r w:rsidRPr="00E0359C">
        <w:rPr>
          <w:rStyle w:val="Strong"/>
          <w:rFonts w:cstheme="minorHAnsi"/>
          <w:b w:val="0"/>
          <w:szCs w:val="22"/>
          <w:bdr w:val="none" w:sz="0" w:space="0" w:color="auto" w:frame="1"/>
        </w:rPr>
        <w:t>(0082), 1</w:t>
      </w:r>
      <w:r w:rsidRPr="00E0359C">
        <w:t>–</w:t>
      </w:r>
      <w:r w:rsidRPr="00E0359C">
        <w:rPr>
          <w:rStyle w:val="Strong"/>
          <w:rFonts w:cstheme="minorHAnsi"/>
          <w:b w:val="0"/>
          <w:szCs w:val="22"/>
          <w:bdr w:val="none" w:sz="0" w:space="0" w:color="auto" w:frame="1"/>
        </w:rPr>
        <w:t xml:space="preserve">7. </w:t>
      </w:r>
    </w:p>
    <w:p w14:paraId="41BB5A4B" w14:textId="77777777" w:rsidR="00C9778C" w:rsidRPr="00E0359C" w:rsidRDefault="00C9778C" w:rsidP="00C9778C">
      <w:pPr>
        <w:spacing w:after="120"/>
        <w:ind w:left="567" w:hanging="567"/>
      </w:pPr>
      <w:r w:rsidRPr="00E0359C">
        <w:rPr>
          <w:rStyle w:val="personname"/>
          <w:rFonts w:cstheme="minorHAnsi"/>
          <w:color w:val="000000"/>
          <w:szCs w:val="22"/>
          <w:shd w:val="clear" w:color="auto" w:fill="FFFFFF"/>
        </w:rPr>
        <w:t>Strand, Steve</w:t>
      </w:r>
      <w:r w:rsidRPr="00E0359C">
        <w:rPr>
          <w:color w:val="000000"/>
          <w:shd w:val="clear" w:color="auto" w:fill="FFFFFF"/>
        </w:rPr>
        <w:t xml:space="preserve">. (2012). </w:t>
      </w:r>
      <w:r w:rsidRPr="00E0359C">
        <w:rPr>
          <w:rStyle w:val="Emphasis"/>
          <w:rFonts w:cstheme="minorHAnsi"/>
          <w:i w:val="0"/>
          <w:iCs w:val="0"/>
          <w:color w:val="000000"/>
          <w:szCs w:val="22"/>
          <w:shd w:val="clear" w:color="auto" w:fill="FFFFFF"/>
        </w:rPr>
        <w:t>The White British</w:t>
      </w:r>
      <w:r w:rsidRPr="00E0359C">
        <w:rPr>
          <w:rFonts w:ascii="Calibri" w:hAnsi="Calibri" w:cs="Calibri"/>
          <w:szCs w:val="22"/>
        </w:rPr>
        <w:t>–</w:t>
      </w:r>
      <w:r w:rsidRPr="00E0359C">
        <w:rPr>
          <w:rStyle w:val="Emphasis"/>
          <w:rFonts w:cstheme="minorHAnsi"/>
          <w:i w:val="0"/>
          <w:iCs w:val="0"/>
          <w:color w:val="000000"/>
          <w:szCs w:val="22"/>
          <w:shd w:val="clear" w:color="auto" w:fill="FFFFFF"/>
        </w:rPr>
        <w:t>Black Caribbean achievement gap: tests, tiers and teacher expectations</w:t>
      </w:r>
      <w:r w:rsidRPr="00E0359C">
        <w:rPr>
          <w:rStyle w:val="Emphasis"/>
          <w:rFonts w:cstheme="minorHAnsi"/>
          <w:color w:val="000000"/>
          <w:szCs w:val="22"/>
          <w:shd w:val="clear" w:color="auto" w:fill="FFFFFF"/>
        </w:rPr>
        <w:t xml:space="preserve">. </w:t>
      </w:r>
      <w:r w:rsidRPr="00E0359C">
        <w:rPr>
          <w:i/>
          <w:color w:val="000000"/>
          <w:shd w:val="clear" w:color="auto" w:fill="FFFFFF"/>
        </w:rPr>
        <w:t>British Educational Research Journal,</w:t>
      </w:r>
      <w:r w:rsidRPr="00E0359C">
        <w:rPr>
          <w:color w:val="000000"/>
          <w:shd w:val="clear" w:color="auto" w:fill="FFFFFF"/>
        </w:rPr>
        <w:t xml:space="preserve"> </w:t>
      </w:r>
      <w:r w:rsidRPr="00E0359C">
        <w:rPr>
          <w:i/>
          <w:iCs/>
          <w:color w:val="000000"/>
          <w:shd w:val="clear" w:color="auto" w:fill="FFFFFF"/>
        </w:rPr>
        <w:t>38</w:t>
      </w:r>
      <w:r w:rsidRPr="00E0359C">
        <w:rPr>
          <w:color w:val="000000"/>
          <w:shd w:val="clear" w:color="auto" w:fill="FFFFFF"/>
        </w:rPr>
        <w:t>(1), 75</w:t>
      </w:r>
      <w:r w:rsidRPr="00E0359C">
        <w:t>–</w:t>
      </w:r>
      <w:r w:rsidRPr="00E0359C">
        <w:rPr>
          <w:color w:val="000000"/>
          <w:shd w:val="clear" w:color="auto" w:fill="FFFFFF"/>
        </w:rPr>
        <w:t>101.</w:t>
      </w:r>
    </w:p>
    <w:p w14:paraId="6228692A" w14:textId="77777777" w:rsidR="00E26E74" w:rsidRPr="00E0359C" w:rsidRDefault="00E26E74" w:rsidP="00E26E74">
      <w:pPr>
        <w:spacing w:after="120"/>
        <w:ind w:left="567" w:hanging="567"/>
        <w:rPr>
          <w:rStyle w:val="Strong"/>
          <w:rFonts w:cstheme="minorHAnsi"/>
          <w:b w:val="0"/>
          <w:szCs w:val="22"/>
          <w:bdr w:val="none" w:sz="0" w:space="0" w:color="auto" w:frame="1"/>
        </w:rPr>
      </w:pPr>
      <w:proofErr w:type="spellStart"/>
      <w:r w:rsidRPr="00E0359C">
        <w:rPr>
          <w:rStyle w:val="Strong"/>
          <w:rFonts w:cstheme="minorHAnsi"/>
          <w:b w:val="0"/>
          <w:szCs w:val="22"/>
          <w:bdr w:val="none" w:sz="0" w:space="0" w:color="auto" w:frame="1"/>
        </w:rPr>
        <w:t>Štremfel</w:t>
      </w:r>
      <w:proofErr w:type="spellEnd"/>
      <w:r w:rsidRPr="00E0359C">
        <w:rPr>
          <w:rStyle w:val="Strong"/>
          <w:rFonts w:cstheme="minorHAnsi"/>
          <w:b w:val="0"/>
          <w:szCs w:val="22"/>
          <w:bdr w:val="none" w:sz="0" w:space="0" w:color="auto" w:frame="1"/>
        </w:rPr>
        <w:t xml:space="preserve">, </w:t>
      </w:r>
      <w:proofErr w:type="spellStart"/>
      <w:r w:rsidRPr="00E0359C">
        <w:rPr>
          <w:rStyle w:val="Strong"/>
          <w:rFonts w:cstheme="minorHAnsi"/>
          <w:b w:val="0"/>
          <w:szCs w:val="22"/>
          <w:bdr w:val="none" w:sz="0" w:space="0" w:color="auto" w:frame="1"/>
        </w:rPr>
        <w:t>Urška</w:t>
      </w:r>
      <w:proofErr w:type="spellEnd"/>
      <w:r w:rsidRPr="00E0359C">
        <w:rPr>
          <w:rStyle w:val="Strong"/>
          <w:rFonts w:cstheme="minorHAnsi"/>
          <w:b w:val="0"/>
          <w:szCs w:val="22"/>
          <w:bdr w:val="none" w:sz="0" w:space="0" w:color="auto" w:frame="1"/>
        </w:rPr>
        <w:t xml:space="preserve">. (2018). </w:t>
      </w:r>
      <w:r w:rsidRPr="00E0359C">
        <w:t>European neoliberal discourse and Slovenian educational space.</w:t>
      </w:r>
      <w:r w:rsidRPr="00E0359C">
        <w:rPr>
          <w:rStyle w:val="Strong"/>
          <w:rFonts w:cstheme="minorHAnsi"/>
          <w:b w:val="0"/>
          <w:szCs w:val="22"/>
          <w:bdr w:val="none" w:sz="0" w:space="0" w:color="auto" w:frame="1"/>
        </w:rPr>
        <w:t xml:space="preserve"> </w:t>
      </w:r>
      <w:proofErr w:type="spellStart"/>
      <w:r w:rsidRPr="00E0359C">
        <w:rPr>
          <w:i/>
        </w:rPr>
        <w:t>Šolsko</w:t>
      </w:r>
      <w:proofErr w:type="spellEnd"/>
      <w:r w:rsidRPr="00E0359C">
        <w:rPr>
          <w:i/>
        </w:rPr>
        <w:t xml:space="preserve"> polje: </w:t>
      </w:r>
      <w:proofErr w:type="spellStart"/>
      <w:r w:rsidRPr="00E0359C">
        <w:rPr>
          <w:i/>
        </w:rPr>
        <w:t>Revija</w:t>
      </w:r>
      <w:proofErr w:type="spellEnd"/>
      <w:r w:rsidRPr="00E0359C">
        <w:rPr>
          <w:i/>
        </w:rPr>
        <w:t xml:space="preserve"> za </w:t>
      </w:r>
      <w:proofErr w:type="spellStart"/>
      <w:r w:rsidRPr="00E0359C">
        <w:rPr>
          <w:i/>
        </w:rPr>
        <w:t>teorijo</w:t>
      </w:r>
      <w:proofErr w:type="spellEnd"/>
      <w:r w:rsidRPr="00E0359C">
        <w:rPr>
          <w:i/>
        </w:rPr>
        <w:t xml:space="preserve"> in </w:t>
      </w:r>
      <w:proofErr w:type="spellStart"/>
      <w:r w:rsidRPr="00E0359C">
        <w:rPr>
          <w:i/>
        </w:rPr>
        <w:t>raziskave</w:t>
      </w:r>
      <w:proofErr w:type="spellEnd"/>
      <w:r w:rsidRPr="00E0359C">
        <w:rPr>
          <w:i/>
        </w:rPr>
        <w:t xml:space="preserve"> </w:t>
      </w:r>
      <w:proofErr w:type="spellStart"/>
      <w:r w:rsidRPr="00E0359C">
        <w:rPr>
          <w:i/>
        </w:rPr>
        <w:t>vzgoje</w:t>
      </w:r>
      <w:proofErr w:type="spellEnd"/>
      <w:r w:rsidRPr="00E0359C">
        <w:rPr>
          <w:i/>
        </w:rPr>
        <w:t xml:space="preserve"> in </w:t>
      </w:r>
      <w:proofErr w:type="spellStart"/>
      <w:r w:rsidRPr="00E0359C">
        <w:rPr>
          <w:i/>
        </w:rPr>
        <w:t>izobraževanja</w:t>
      </w:r>
      <w:proofErr w:type="spellEnd"/>
      <w:r w:rsidRPr="00E0359C">
        <w:t xml:space="preserve"> [</w:t>
      </w:r>
      <w:r w:rsidRPr="00E0359C">
        <w:rPr>
          <w:i/>
        </w:rPr>
        <w:t>The School Field: Journal of Theory and Research in Education</w:t>
      </w:r>
      <w:r w:rsidRPr="00E0359C">
        <w:t xml:space="preserve">]. </w:t>
      </w:r>
      <w:r w:rsidRPr="00E0359C">
        <w:rPr>
          <w:i/>
          <w:iCs/>
        </w:rPr>
        <w:t>29</w:t>
      </w:r>
      <w:r w:rsidRPr="00E0359C">
        <w:t>(1</w:t>
      </w:r>
      <w:r w:rsidRPr="00E0359C">
        <w:rPr>
          <w:rFonts w:ascii="Calibri" w:hAnsi="Calibri" w:cs="Calibri"/>
          <w:szCs w:val="22"/>
        </w:rPr>
        <w:t>–</w:t>
      </w:r>
      <w:r w:rsidRPr="00E0359C">
        <w:t>2),</w:t>
      </w:r>
      <w:r w:rsidRPr="00E0359C">
        <w:rPr>
          <w:rStyle w:val="Strong"/>
          <w:rFonts w:cstheme="minorHAnsi"/>
          <w:b w:val="0"/>
          <w:szCs w:val="22"/>
          <w:bdr w:val="none" w:sz="0" w:space="0" w:color="auto" w:frame="1"/>
        </w:rPr>
        <w:t>106</w:t>
      </w:r>
      <w:r w:rsidRPr="00E0359C">
        <w:t>–</w:t>
      </w:r>
      <w:r w:rsidRPr="00E0359C">
        <w:rPr>
          <w:rStyle w:val="Strong"/>
          <w:rFonts w:cstheme="minorHAnsi"/>
          <w:b w:val="0"/>
          <w:szCs w:val="22"/>
          <w:bdr w:val="none" w:sz="0" w:space="0" w:color="auto" w:frame="1"/>
        </w:rPr>
        <w:t xml:space="preserve">125. </w:t>
      </w:r>
    </w:p>
    <w:p w14:paraId="189B301E" w14:textId="77777777" w:rsidR="00C9778C" w:rsidRPr="00E0359C" w:rsidRDefault="00C9778C" w:rsidP="00C9778C">
      <w:pPr>
        <w:spacing w:after="120"/>
        <w:ind w:left="567" w:hanging="567"/>
        <w:rPr>
          <w:b/>
        </w:rPr>
      </w:pPr>
      <w:r w:rsidRPr="00E0359C">
        <w:rPr>
          <w:rStyle w:val="Strong"/>
          <w:rFonts w:cstheme="minorHAnsi"/>
          <w:b w:val="0"/>
          <w:szCs w:val="22"/>
          <w:bdr w:val="none" w:sz="0" w:space="0" w:color="auto" w:frame="1"/>
        </w:rPr>
        <w:lastRenderedPageBreak/>
        <w:t xml:space="preserve">Tawney, Richard. (1931). </w:t>
      </w:r>
      <w:r w:rsidRPr="00E0359C">
        <w:rPr>
          <w:rStyle w:val="Strong"/>
          <w:rFonts w:cstheme="minorHAnsi"/>
          <w:b w:val="0"/>
          <w:i/>
          <w:szCs w:val="22"/>
          <w:bdr w:val="none" w:sz="0" w:space="0" w:color="auto" w:frame="1"/>
        </w:rPr>
        <w:t>Equality; The Halley Stewart lectures, 1929.</w:t>
      </w:r>
      <w:r w:rsidRPr="00E0359C">
        <w:rPr>
          <w:rStyle w:val="Strong"/>
          <w:rFonts w:cstheme="minorHAnsi"/>
          <w:b w:val="0"/>
          <w:szCs w:val="22"/>
          <w:bdr w:val="none" w:sz="0" w:space="0" w:color="auto" w:frame="1"/>
        </w:rPr>
        <w:t xml:space="preserve"> London: George Allen and Unwin.</w:t>
      </w:r>
    </w:p>
    <w:p w14:paraId="1491A885" w14:textId="77777777" w:rsidR="00C9778C" w:rsidRPr="00E0359C" w:rsidRDefault="00C9778C" w:rsidP="00C9778C">
      <w:pPr>
        <w:spacing w:after="120"/>
        <w:ind w:left="567" w:hanging="567"/>
        <w:rPr>
          <w:rStyle w:val="meta-author"/>
          <w:rFonts w:cstheme="minorHAnsi"/>
          <w:szCs w:val="22"/>
        </w:rPr>
      </w:pPr>
      <w:proofErr w:type="spellStart"/>
      <w:r w:rsidRPr="00E0359C">
        <w:rPr>
          <w:color w:val="222222"/>
        </w:rPr>
        <w:t>Torretti</w:t>
      </w:r>
      <w:proofErr w:type="spellEnd"/>
      <w:r w:rsidRPr="00E0359C">
        <w:rPr>
          <w:color w:val="222222"/>
        </w:rPr>
        <w:t xml:space="preserve">, Roberto. (1999). </w:t>
      </w:r>
      <w:r w:rsidRPr="00E0359C">
        <w:rPr>
          <w:i/>
          <w:iCs/>
          <w:color w:val="222222"/>
        </w:rPr>
        <w:t>The philosophy of physics.</w:t>
      </w:r>
      <w:r w:rsidRPr="00E0359C">
        <w:rPr>
          <w:color w:val="222222"/>
        </w:rPr>
        <w:t xml:space="preserve"> Cambridge: Cambridge University Press.</w:t>
      </w:r>
    </w:p>
    <w:p w14:paraId="32FAC3F1" w14:textId="77777777" w:rsidR="00C9778C" w:rsidRPr="00E0359C" w:rsidRDefault="00C9778C" w:rsidP="00C9778C">
      <w:pPr>
        <w:spacing w:after="120"/>
        <w:ind w:left="567" w:hanging="567"/>
      </w:pPr>
      <w:proofErr w:type="spellStart"/>
      <w:r w:rsidRPr="00E0359C">
        <w:rPr>
          <w:shd w:val="clear" w:color="auto" w:fill="FFFFFF"/>
        </w:rPr>
        <w:t>Vertovec</w:t>
      </w:r>
      <w:proofErr w:type="spellEnd"/>
      <w:r w:rsidRPr="00E0359C">
        <w:rPr>
          <w:shd w:val="clear" w:color="auto" w:fill="FFFFFF"/>
        </w:rPr>
        <w:t xml:space="preserve">, Steven. (2007). Super-diversity and its implications. </w:t>
      </w:r>
      <w:r w:rsidRPr="00E0359C">
        <w:rPr>
          <w:i/>
          <w:iCs/>
          <w:shd w:val="clear" w:color="auto" w:fill="FFFFFF"/>
        </w:rPr>
        <w:t>Ethnic and Racial Studies</w:t>
      </w:r>
      <w:r w:rsidRPr="00E0359C">
        <w:rPr>
          <w:shd w:val="clear" w:color="auto" w:fill="FFFFFF"/>
        </w:rPr>
        <w:t xml:space="preserve">, </w:t>
      </w:r>
      <w:r w:rsidRPr="00E0359C">
        <w:rPr>
          <w:bCs/>
          <w:i/>
          <w:iCs/>
          <w:shd w:val="clear" w:color="auto" w:fill="FFFFFF"/>
        </w:rPr>
        <w:t>30</w:t>
      </w:r>
      <w:r w:rsidRPr="00E0359C">
        <w:rPr>
          <w:shd w:val="clear" w:color="auto" w:fill="FFFFFF"/>
        </w:rPr>
        <w:t>(6), 1024</w:t>
      </w:r>
      <w:r w:rsidRPr="00E0359C">
        <w:t>–</w:t>
      </w:r>
      <w:r w:rsidRPr="00E0359C">
        <w:rPr>
          <w:shd w:val="clear" w:color="auto" w:fill="FFFFFF"/>
        </w:rPr>
        <w:t>1054.</w:t>
      </w:r>
      <w:r w:rsidRPr="00E0359C">
        <w:t xml:space="preserve"> </w:t>
      </w:r>
    </w:p>
    <w:p w14:paraId="593BD548" w14:textId="4E4069DE" w:rsidR="00C9778C" w:rsidRPr="00E0359C" w:rsidRDefault="00C9778C" w:rsidP="00C9778C">
      <w:pPr>
        <w:spacing w:after="120"/>
        <w:ind w:left="567" w:hanging="567"/>
      </w:pPr>
      <w:r w:rsidRPr="00E0359C">
        <w:t xml:space="preserve">Vincent, Carol. (2003). </w:t>
      </w:r>
      <w:r w:rsidRPr="00E0359C">
        <w:rPr>
          <w:i/>
          <w:iCs/>
        </w:rPr>
        <w:t>Social justice education and identity</w:t>
      </w:r>
      <w:r w:rsidRPr="00E0359C">
        <w:t>. London</w:t>
      </w:r>
      <w:r w:rsidR="00C959A2" w:rsidRPr="00E0359C">
        <w:t>:</w:t>
      </w:r>
      <w:r w:rsidRPr="00E0359C">
        <w:t xml:space="preserve"> Routledge. </w:t>
      </w:r>
    </w:p>
    <w:p w14:paraId="6772181A" w14:textId="77777777" w:rsidR="00C9778C" w:rsidRPr="00E0359C" w:rsidRDefault="00C9778C" w:rsidP="00C9778C">
      <w:pPr>
        <w:spacing w:after="120"/>
        <w:ind w:left="567" w:hanging="567"/>
      </w:pPr>
      <w:r w:rsidRPr="00E0359C">
        <w:t xml:space="preserve">Walker, Melanie and Elaine </w:t>
      </w:r>
      <w:proofErr w:type="spellStart"/>
      <w:r w:rsidRPr="00E0359C">
        <w:t>Unterhalter</w:t>
      </w:r>
      <w:proofErr w:type="spellEnd"/>
      <w:r w:rsidRPr="00E0359C">
        <w:t xml:space="preserve">. (2007). </w:t>
      </w:r>
      <w:r w:rsidRPr="00E0359C">
        <w:rPr>
          <w:i/>
          <w:iCs/>
        </w:rPr>
        <w:t>Amartya Sen’s capability approach and social justice in education</w:t>
      </w:r>
      <w:r w:rsidRPr="00E0359C">
        <w:t>. London: Palgrave Macmillan.</w:t>
      </w:r>
    </w:p>
    <w:p w14:paraId="1F137B55" w14:textId="77777777" w:rsidR="00C9778C" w:rsidRPr="00A13207" w:rsidRDefault="00C9778C" w:rsidP="00C9778C">
      <w:pPr>
        <w:spacing w:after="120"/>
        <w:ind w:left="567" w:hanging="567"/>
        <w:rPr>
          <w:shd w:val="clear" w:color="auto" w:fill="FFFFFF"/>
        </w:rPr>
      </w:pPr>
      <w:r w:rsidRPr="00E0359C">
        <w:rPr>
          <w:shd w:val="clear" w:color="auto" w:fill="FFFFFF"/>
        </w:rPr>
        <w:t xml:space="preserve">Wilkinson, Richard and Kate Pickett. (2009). </w:t>
      </w:r>
      <w:r w:rsidRPr="00E0359C">
        <w:rPr>
          <w:i/>
          <w:shd w:val="clear" w:color="auto" w:fill="FFFFFF"/>
        </w:rPr>
        <w:t>The spirit level: Why more equal societies almost always do better</w:t>
      </w:r>
      <w:r w:rsidRPr="00A13207">
        <w:rPr>
          <w:shd w:val="clear" w:color="auto" w:fill="FFFFFF"/>
        </w:rPr>
        <w:t>. London: Allen Lane.</w:t>
      </w:r>
    </w:p>
    <w:p w14:paraId="496F3635" w14:textId="77777777" w:rsidR="00C9778C" w:rsidRPr="00A13207" w:rsidRDefault="00C9778C" w:rsidP="00C9778C">
      <w:pPr>
        <w:spacing w:after="120"/>
        <w:ind w:left="567" w:hanging="567"/>
        <w:rPr>
          <w:b/>
        </w:rPr>
      </w:pPr>
      <w:r w:rsidRPr="00A13207">
        <w:rPr>
          <w:shd w:val="clear" w:color="auto" w:fill="FFFFFF"/>
        </w:rPr>
        <w:t xml:space="preserve">Wilkinson, Richard and Kate Pickett. (2018). </w:t>
      </w:r>
      <w:r w:rsidRPr="00A13207">
        <w:rPr>
          <w:rStyle w:val="a-size-large"/>
          <w:rFonts w:cstheme="minorHAnsi"/>
          <w:i/>
          <w:szCs w:val="22"/>
        </w:rPr>
        <w:t>The inner level: How more equal societies reduce stress, restore sanity and improve everyone’s wellbeing</w:t>
      </w:r>
      <w:r w:rsidRPr="00A13207">
        <w:rPr>
          <w:rStyle w:val="a-size-large"/>
          <w:rFonts w:cstheme="minorHAnsi"/>
          <w:szCs w:val="22"/>
        </w:rPr>
        <w:t>.</w:t>
      </w:r>
      <w:r w:rsidRPr="00A13207">
        <w:t xml:space="preserve"> London: </w:t>
      </w:r>
      <w:r w:rsidRPr="00A13207">
        <w:rPr>
          <w:shd w:val="clear" w:color="auto" w:fill="FFFFFF"/>
        </w:rPr>
        <w:t>Allen Lane</w:t>
      </w:r>
      <w:r w:rsidRPr="00A13207">
        <w:t>.</w:t>
      </w:r>
    </w:p>
    <w:p w14:paraId="4A7F7049" w14:textId="77777777" w:rsidR="00C9778C" w:rsidRPr="00A13207" w:rsidRDefault="00C9778C" w:rsidP="00C9778C">
      <w:pPr>
        <w:spacing w:after="120"/>
        <w:ind w:left="567" w:hanging="567"/>
      </w:pPr>
      <w:r w:rsidRPr="00A13207">
        <w:t xml:space="preserve">Young, Michael. (1958). </w:t>
      </w:r>
      <w:r w:rsidRPr="00A13207">
        <w:rPr>
          <w:i/>
        </w:rPr>
        <w:t>The rise of the meritocracy, 1870–2033: An essay on education and equality</w:t>
      </w:r>
      <w:r w:rsidRPr="00A13207">
        <w:t xml:space="preserve">. London: Thames and Hudson. </w:t>
      </w:r>
    </w:p>
    <w:p w14:paraId="160382FA" w14:textId="53844779" w:rsidR="00C9778C" w:rsidRPr="00134AA1" w:rsidRDefault="00C9778C" w:rsidP="00C9778C">
      <w:pPr>
        <w:spacing w:after="120"/>
        <w:ind w:left="567" w:hanging="567"/>
      </w:pPr>
      <w:r w:rsidRPr="00A13207">
        <w:t xml:space="preserve">Young, Michael. (2001). Down with meritocracy. </w:t>
      </w:r>
      <w:r w:rsidRPr="00A13207">
        <w:rPr>
          <w:i/>
        </w:rPr>
        <w:t>The Guardian</w:t>
      </w:r>
      <w:r w:rsidRPr="00A13207">
        <w:t xml:space="preserve">, 21 June. Retrieved from </w:t>
      </w:r>
      <w:r w:rsidRPr="0024228E">
        <w:t>https://www.theguardian.com/politics/2001/jun/29/comment</w:t>
      </w:r>
    </w:p>
    <w:p w14:paraId="115BD73D" w14:textId="7382E16E" w:rsidR="00FF46DC" w:rsidRDefault="00FF46DC" w:rsidP="00A969C9">
      <w:pPr>
        <w:spacing w:after="120"/>
      </w:pPr>
    </w:p>
    <w:p w14:paraId="6E13C768" w14:textId="1A2A9797" w:rsidR="005C4E8F" w:rsidRDefault="005C4E8F">
      <w:r>
        <w:br w:type="page"/>
      </w:r>
    </w:p>
    <w:p w14:paraId="7D17A4FD" w14:textId="77777777" w:rsidR="001440CB" w:rsidRPr="00DC7D96" w:rsidRDefault="001440CB" w:rsidP="001440CB">
      <w:pPr>
        <w:rPr>
          <w:rFonts w:ascii="Calibri" w:hAnsi="Calibri" w:cs="Calibri"/>
        </w:rPr>
      </w:pPr>
      <w:r w:rsidRPr="00B03D0B">
        <w:rPr>
          <w:rFonts w:ascii="Calibri" w:hAnsi="Calibri" w:cs="Calibri"/>
          <w:b/>
        </w:rPr>
        <w:lastRenderedPageBreak/>
        <w:t>Alistair Ross</w:t>
      </w:r>
      <w:r w:rsidRPr="00B03D0B">
        <w:rPr>
          <w:rFonts w:ascii="Calibri" w:hAnsi="Calibri" w:cs="Calibri"/>
        </w:rPr>
        <w:t xml:space="preserve"> is Senior Professor of Politics and Education at London Metropolitan University, holds a</w:t>
      </w:r>
      <w:r>
        <w:rPr>
          <w:rFonts w:ascii="Calibri" w:hAnsi="Calibri" w:cs="Calibri"/>
        </w:rPr>
        <w:t xml:space="preserve"> personal Jean Monnet chair, and is a Fellow of the Academy of Social Sciences (UK). After a career in teaching in primary schools, he lectured in teacher education, and then in education policy research. He established and directed IPSE (2000-09) and a Jean Monnet Academic Network on children’s identity and citizenship in Europe (1998-2008). Since retiring from full-time work, he has been conducting a one-person study on young European’s constructions of political identities and their participation in political action. Other research interests include citizenship and refugee education, particularly with reference to social inclusion; the nature and diversity of the educational workforce; and access and achievement in education for all social groups.  Recent publications include </w:t>
      </w:r>
      <w:r>
        <w:rPr>
          <w:rFonts w:ascii="Calibri" w:hAnsi="Calibri" w:cs="Calibri"/>
          <w:i/>
        </w:rPr>
        <w:t>Understanding the Construction of Identities by New Europeans</w:t>
      </w:r>
      <w:r>
        <w:rPr>
          <w:rFonts w:ascii="Calibri" w:hAnsi="Calibri" w:cs="Calibri"/>
        </w:rPr>
        <w:t xml:space="preserve"> (Routledge, 2015) and </w:t>
      </w:r>
      <w:r>
        <w:rPr>
          <w:rFonts w:ascii="Calibri" w:hAnsi="Calibri" w:cs="Calibri"/>
          <w:i/>
          <w:iCs/>
          <w:shd w:val="clear" w:color="auto" w:fill="FFFFFF"/>
        </w:rPr>
        <w:t xml:space="preserve">Finding Political Identities: Young people in a changing </w:t>
      </w:r>
      <w:r w:rsidRPr="00DC7D96">
        <w:rPr>
          <w:rFonts w:ascii="Calibri" w:hAnsi="Calibri" w:cs="Calibri"/>
          <w:i/>
          <w:iCs/>
          <w:shd w:val="clear" w:color="auto" w:fill="FFFFFF"/>
        </w:rPr>
        <w:t>Europe</w:t>
      </w:r>
      <w:r w:rsidRPr="00DC7D96">
        <w:rPr>
          <w:rFonts w:ascii="Calibri" w:hAnsi="Calibri" w:cs="Calibri"/>
          <w:shd w:val="clear" w:color="auto" w:fill="FFFFFF"/>
        </w:rPr>
        <w:t> (Palgrave Macmillan</w:t>
      </w:r>
      <w:r>
        <w:rPr>
          <w:rFonts w:ascii="Calibri" w:hAnsi="Calibri" w:cs="Calibri"/>
          <w:shd w:val="clear" w:color="auto" w:fill="FFFFFF"/>
        </w:rPr>
        <w:t>,</w:t>
      </w:r>
      <w:r w:rsidRPr="00DC7D96">
        <w:rPr>
          <w:rFonts w:ascii="Calibri" w:hAnsi="Calibri" w:cs="Calibri"/>
          <w:shd w:val="clear" w:color="auto" w:fill="FFFFFF"/>
        </w:rPr>
        <w:t xml:space="preserve"> 2019).</w:t>
      </w:r>
      <w:r w:rsidRPr="00DC7D96">
        <w:rPr>
          <w:rFonts w:ascii="Calibri" w:hAnsi="Calibri" w:cs="Calibri"/>
        </w:rPr>
        <w:t xml:space="preserve"> </w:t>
      </w:r>
    </w:p>
    <w:p w14:paraId="0F218383" w14:textId="77777777" w:rsidR="001440CB" w:rsidRPr="00DC7D96" w:rsidRDefault="001440CB" w:rsidP="001440CB">
      <w:r w:rsidRPr="00DC7D96">
        <w:t>a.ross@londonmet.ac.uk</w:t>
      </w:r>
    </w:p>
    <w:p w14:paraId="13BEE6F9" w14:textId="77777777" w:rsidR="001440CB" w:rsidRPr="00DC7D96" w:rsidRDefault="001440CB" w:rsidP="001440CB">
      <w:r w:rsidRPr="00DC7D96">
        <w:t>ORCID: 0000-0001-5243-7704</w:t>
      </w:r>
    </w:p>
    <w:p w14:paraId="6F0631CD" w14:textId="77777777" w:rsidR="00A5247A" w:rsidRPr="00134AA1" w:rsidRDefault="00A5247A">
      <w:pPr>
        <w:spacing w:after="120"/>
        <w:ind w:left="720" w:hanging="720"/>
      </w:pPr>
    </w:p>
    <w:sectPr w:rsidR="00A5247A" w:rsidRPr="00134AA1" w:rsidSect="00C4658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1CB2" w14:textId="77777777" w:rsidR="00087D8E" w:rsidRDefault="00087D8E" w:rsidP="000340FD">
      <w:r>
        <w:separator/>
      </w:r>
    </w:p>
  </w:endnote>
  <w:endnote w:type="continuationSeparator" w:id="0">
    <w:p w14:paraId="6E475937" w14:textId="77777777" w:rsidR="00087D8E" w:rsidRDefault="00087D8E" w:rsidP="000340FD">
      <w:r>
        <w:continuationSeparator/>
      </w:r>
    </w:p>
  </w:endnote>
  <w:endnote w:type="continuationNotice" w:id="1">
    <w:p w14:paraId="3F0A6E3E" w14:textId="77777777" w:rsidR="00087D8E" w:rsidRDefault="00087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C1B2" w14:textId="77777777" w:rsidR="00087D8E" w:rsidRDefault="00087D8E" w:rsidP="000340FD">
      <w:r>
        <w:separator/>
      </w:r>
    </w:p>
  </w:footnote>
  <w:footnote w:type="continuationSeparator" w:id="0">
    <w:p w14:paraId="3CEF2CAF" w14:textId="77777777" w:rsidR="00087D8E" w:rsidRDefault="00087D8E" w:rsidP="000340FD">
      <w:r>
        <w:continuationSeparator/>
      </w:r>
    </w:p>
  </w:footnote>
  <w:footnote w:type="continuationNotice" w:id="1">
    <w:p w14:paraId="02D97908" w14:textId="77777777" w:rsidR="00087D8E" w:rsidRDefault="00087D8E"/>
  </w:footnote>
  <w:footnote w:id="2">
    <w:p w14:paraId="382B813C" w14:textId="6811DDA3" w:rsidR="005D4D9F" w:rsidRPr="00EC0C60" w:rsidRDefault="005D4D9F" w:rsidP="00EC0C60">
      <w:pPr>
        <w:pStyle w:val="HTMLPreformatted"/>
        <w:shd w:val="clear" w:color="auto" w:fill="FFFFFF"/>
        <w:rPr>
          <w:rFonts w:asciiTheme="minorHAnsi" w:hAnsiTheme="minorHAnsi" w:cstheme="minorHAnsi"/>
        </w:rPr>
      </w:pPr>
      <w:r w:rsidRPr="00EC0C60">
        <w:rPr>
          <w:rStyle w:val="FootnoteReference"/>
          <w:rFonts w:asciiTheme="minorHAnsi" w:hAnsiTheme="minorHAnsi" w:cstheme="minorHAnsi"/>
        </w:rPr>
        <w:footnoteRef/>
      </w:r>
      <w:r w:rsidRPr="00EC0C60">
        <w:rPr>
          <w:rFonts w:asciiTheme="minorHAnsi" w:hAnsiTheme="minorHAnsi" w:cstheme="minorHAnsi"/>
        </w:rPr>
        <w:t xml:space="preserve"> </w:t>
      </w:r>
      <w:r w:rsidR="00A95403" w:rsidRPr="00EC0C60">
        <w:rPr>
          <w:rFonts w:asciiTheme="minorHAnsi" w:hAnsiTheme="minorHAnsi" w:cstheme="minorHAnsi"/>
        </w:rPr>
        <w:t xml:space="preserve">Beside the authors of this volume, </w:t>
      </w:r>
      <w:r w:rsidR="00C20237" w:rsidRPr="00EC0C60">
        <w:rPr>
          <w:rFonts w:asciiTheme="minorHAnsi" w:hAnsiTheme="minorHAnsi" w:cstheme="minorHAnsi"/>
        </w:rPr>
        <w:t xml:space="preserve">those working in IPSE </w:t>
      </w:r>
      <w:r w:rsidR="00E511BB" w:rsidRPr="00EC0C60">
        <w:rPr>
          <w:rFonts w:asciiTheme="minorHAnsi" w:hAnsiTheme="minorHAnsi" w:cstheme="minorHAnsi"/>
        </w:rPr>
        <w:t xml:space="preserve">have </w:t>
      </w:r>
      <w:r w:rsidR="00C20237" w:rsidRPr="00EC0C60">
        <w:rPr>
          <w:rFonts w:asciiTheme="minorHAnsi" w:hAnsiTheme="minorHAnsi" w:cstheme="minorHAnsi"/>
        </w:rPr>
        <w:t>include</w:t>
      </w:r>
      <w:r w:rsidR="00343668" w:rsidRPr="00EC0C60">
        <w:rPr>
          <w:rFonts w:asciiTheme="minorHAnsi" w:hAnsiTheme="minorHAnsi" w:cstheme="minorHAnsi"/>
        </w:rPr>
        <w:t>d</w:t>
      </w:r>
      <w:r w:rsidR="00C20237" w:rsidRPr="00EC0C60">
        <w:rPr>
          <w:rFonts w:asciiTheme="minorHAnsi" w:hAnsiTheme="minorHAnsi" w:cstheme="minorHAnsi"/>
        </w:rPr>
        <w:t xml:space="preserve"> </w:t>
      </w:r>
      <w:r w:rsidR="006C6CEB" w:rsidRPr="00EC0C60">
        <w:rPr>
          <w:rFonts w:asciiTheme="minorHAnsi" w:hAnsiTheme="minorHAnsi" w:cstheme="minorHAnsi"/>
        </w:rPr>
        <w:t>Sarah Adams, Louise Archer, Jacinta Dalgety</w:t>
      </w:r>
      <w:r w:rsidR="00697AA9" w:rsidRPr="00EC0C60">
        <w:rPr>
          <w:rFonts w:asciiTheme="minorHAnsi" w:hAnsiTheme="minorHAnsi" w:cstheme="minorHAnsi"/>
        </w:rPr>
        <w:t xml:space="preserve">, Becky Francis, </w:t>
      </w:r>
      <w:r w:rsidR="00007F31">
        <w:rPr>
          <w:rFonts w:asciiTheme="minorHAnsi" w:hAnsiTheme="minorHAnsi" w:cstheme="minorHAnsi"/>
        </w:rPr>
        <w:t xml:space="preserve">Nathan Fretwell, </w:t>
      </w:r>
      <w:r w:rsidR="00697AA9" w:rsidRPr="00EC0C60">
        <w:rPr>
          <w:rFonts w:asciiTheme="minorHAnsi" w:hAnsiTheme="minorHAnsi" w:cstheme="minorHAnsi"/>
        </w:rPr>
        <w:t>Kat</w:t>
      </w:r>
      <w:r w:rsidR="008F6B15">
        <w:rPr>
          <w:rFonts w:asciiTheme="minorHAnsi" w:hAnsiTheme="minorHAnsi" w:cstheme="minorHAnsi"/>
        </w:rPr>
        <w:t>ie</w:t>
      </w:r>
      <w:r w:rsidR="00697AA9" w:rsidRPr="00EC0C60">
        <w:rPr>
          <w:rFonts w:asciiTheme="minorHAnsi" w:hAnsiTheme="minorHAnsi" w:cstheme="minorHAnsi"/>
        </w:rPr>
        <w:t xml:space="preserve"> </w:t>
      </w:r>
      <w:r w:rsidR="005110B9" w:rsidRPr="00EC0C60">
        <w:rPr>
          <w:rFonts w:asciiTheme="minorHAnsi" w:hAnsiTheme="minorHAnsi" w:cstheme="minorHAnsi"/>
        </w:rPr>
        <w:t>G</w:t>
      </w:r>
      <w:r w:rsidR="00697AA9" w:rsidRPr="00EC0C60">
        <w:rPr>
          <w:rFonts w:asciiTheme="minorHAnsi" w:hAnsiTheme="minorHAnsi" w:cstheme="minorHAnsi"/>
        </w:rPr>
        <w:t>lass, Anna Halsall, Sumi Hollingworth, Kathy James, Charine John, K</w:t>
      </w:r>
      <w:r w:rsidR="009F78C1" w:rsidRPr="00EC0C60">
        <w:rPr>
          <w:rFonts w:asciiTheme="minorHAnsi" w:hAnsiTheme="minorHAnsi" w:cstheme="minorHAnsi"/>
        </w:rPr>
        <w:t>uyok Kuyok, Sa</w:t>
      </w:r>
      <w:r w:rsidR="008B1FC7" w:rsidRPr="00EC0C60">
        <w:rPr>
          <w:rFonts w:asciiTheme="minorHAnsi" w:hAnsiTheme="minorHAnsi" w:cstheme="minorHAnsi"/>
        </w:rPr>
        <w:t>ra</w:t>
      </w:r>
      <w:r w:rsidR="00642BAE" w:rsidRPr="00EC0C60">
        <w:rPr>
          <w:rFonts w:asciiTheme="minorHAnsi" w:hAnsiTheme="minorHAnsi" w:cstheme="minorHAnsi"/>
        </w:rPr>
        <w:t xml:space="preserve">h McCreith, </w:t>
      </w:r>
      <w:r w:rsidR="005F53B2" w:rsidRPr="00EC0C60">
        <w:rPr>
          <w:rFonts w:asciiTheme="minorHAnsi" w:hAnsiTheme="minorHAnsi" w:cstheme="minorHAnsi"/>
        </w:rPr>
        <w:t>Ayo Mansaray, Heather Mendick</w:t>
      </w:r>
      <w:r w:rsidR="00B17797" w:rsidRPr="00EC0C60">
        <w:rPr>
          <w:rFonts w:asciiTheme="minorHAnsi" w:hAnsiTheme="minorHAnsi" w:cstheme="minorHAnsi"/>
        </w:rPr>
        <w:t xml:space="preserve">, Maria </w:t>
      </w:r>
      <w:r w:rsidR="000F5982" w:rsidRPr="000F5982">
        <w:rPr>
          <w:rFonts w:asciiTheme="minorHAnsi" w:hAnsiTheme="minorHAnsi" w:cstheme="minorHAnsi"/>
          <w:color w:val="222222"/>
          <w:shd w:val="clear" w:color="auto" w:fill="FFFFFF"/>
        </w:rPr>
        <w:t>Tsouroufli</w:t>
      </w:r>
      <w:r w:rsidR="00B17797" w:rsidRPr="000F5982">
        <w:rPr>
          <w:rFonts w:asciiTheme="minorHAnsi" w:hAnsiTheme="minorHAnsi" w:cstheme="minorHAnsi"/>
        </w:rPr>
        <w:t xml:space="preserve">, </w:t>
      </w:r>
      <w:r w:rsidR="00873851" w:rsidRPr="000F5982">
        <w:rPr>
          <w:rFonts w:asciiTheme="minorHAnsi" w:hAnsiTheme="minorHAnsi" w:cstheme="minorHAnsi"/>
        </w:rPr>
        <w:t>Paul</w:t>
      </w:r>
      <w:r w:rsidR="00873851" w:rsidRPr="00EC0C60">
        <w:rPr>
          <w:rFonts w:asciiTheme="minorHAnsi" w:hAnsiTheme="minorHAnsi" w:cstheme="minorHAnsi"/>
        </w:rPr>
        <w:t xml:space="preserve"> O’Connell, Gill O’Toole, </w:t>
      </w:r>
      <w:r w:rsidR="00EC0C60" w:rsidRPr="00EC0C60">
        <w:rPr>
          <w:rFonts w:asciiTheme="minorHAnsi" w:hAnsiTheme="minorHAnsi" w:cstheme="minorHAnsi"/>
          <w:color w:val="000000"/>
        </w:rPr>
        <w:t xml:space="preserve">Rossana Perez del Aguila, </w:t>
      </w:r>
      <w:r w:rsidR="00873851" w:rsidRPr="00EC0C60">
        <w:rPr>
          <w:rFonts w:asciiTheme="minorHAnsi" w:hAnsiTheme="minorHAnsi" w:cstheme="minorHAnsi"/>
        </w:rPr>
        <w:t>Jocey Qui</w:t>
      </w:r>
      <w:r w:rsidR="00714B32" w:rsidRPr="00EC0C60">
        <w:rPr>
          <w:rFonts w:asciiTheme="minorHAnsi" w:hAnsiTheme="minorHAnsi" w:cstheme="minorHAnsi"/>
        </w:rPr>
        <w:t>n</w:t>
      </w:r>
      <w:r w:rsidR="00873851" w:rsidRPr="00EC0C60">
        <w:rPr>
          <w:rFonts w:asciiTheme="minorHAnsi" w:hAnsiTheme="minorHAnsi" w:cstheme="minorHAnsi"/>
        </w:rPr>
        <w:t xml:space="preserve">n, Jebi Rahman, </w:t>
      </w:r>
      <w:r w:rsidR="00C9615A" w:rsidRPr="00EC0C60">
        <w:rPr>
          <w:rFonts w:asciiTheme="minorHAnsi" w:hAnsiTheme="minorHAnsi" w:cstheme="minorHAnsi"/>
        </w:rPr>
        <w:t>Diane Reay, Jocelyn Robson, Nicola Rollock</w:t>
      </w:r>
      <w:r w:rsidR="00BE50D6" w:rsidRPr="00EC0C60">
        <w:rPr>
          <w:rFonts w:asciiTheme="minorHAnsi" w:hAnsiTheme="minorHAnsi" w:cstheme="minorHAnsi"/>
        </w:rPr>
        <w:t>, Anthea Rose, Katya Williams and Hiromi Yamashita.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81185"/>
    <w:multiLevelType w:val="hybridMultilevel"/>
    <w:tmpl w:val="A5EA8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1405AAE"/>
    <w:multiLevelType w:val="hybridMultilevel"/>
    <w:tmpl w:val="2A2C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C90420"/>
    <w:multiLevelType w:val="hybridMultilevel"/>
    <w:tmpl w:val="C90A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97"/>
    <w:rsid w:val="000006E8"/>
    <w:rsid w:val="00001174"/>
    <w:rsid w:val="00001850"/>
    <w:rsid w:val="00001B3B"/>
    <w:rsid w:val="00003F34"/>
    <w:rsid w:val="000043C3"/>
    <w:rsid w:val="00004B15"/>
    <w:rsid w:val="000051AA"/>
    <w:rsid w:val="000062F0"/>
    <w:rsid w:val="00007F31"/>
    <w:rsid w:val="00010A15"/>
    <w:rsid w:val="00010AE9"/>
    <w:rsid w:val="0001277B"/>
    <w:rsid w:val="000158CE"/>
    <w:rsid w:val="00017D45"/>
    <w:rsid w:val="00020A03"/>
    <w:rsid w:val="0002131F"/>
    <w:rsid w:val="00021E92"/>
    <w:rsid w:val="00024CDF"/>
    <w:rsid w:val="00025D18"/>
    <w:rsid w:val="00026784"/>
    <w:rsid w:val="00027422"/>
    <w:rsid w:val="00032E63"/>
    <w:rsid w:val="00033374"/>
    <w:rsid w:val="00033426"/>
    <w:rsid w:val="00033998"/>
    <w:rsid w:val="000340FD"/>
    <w:rsid w:val="00034CA9"/>
    <w:rsid w:val="00034F41"/>
    <w:rsid w:val="00036065"/>
    <w:rsid w:val="000409C2"/>
    <w:rsid w:val="00040CC8"/>
    <w:rsid w:val="0004137F"/>
    <w:rsid w:val="0004240B"/>
    <w:rsid w:val="00042AC2"/>
    <w:rsid w:val="00042E5D"/>
    <w:rsid w:val="00043BCE"/>
    <w:rsid w:val="000440C5"/>
    <w:rsid w:val="00044565"/>
    <w:rsid w:val="00047260"/>
    <w:rsid w:val="0005049D"/>
    <w:rsid w:val="000516AB"/>
    <w:rsid w:val="000519B4"/>
    <w:rsid w:val="00051A1C"/>
    <w:rsid w:val="000529AE"/>
    <w:rsid w:val="00052AF1"/>
    <w:rsid w:val="0005318F"/>
    <w:rsid w:val="000539EF"/>
    <w:rsid w:val="0005543E"/>
    <w:rsid w:val="00055826"/>
    <w:rsid w:val="0005606B"/>
    <w:rsid w:val="000612A2"/>
    <w:rsid w:val="00062A4B"/>
    <w:rsid w:val="000632F3"/>
    <w:rsid w:val="000639CD"/>
    <w:rsid w:val="00063DB6"/>
    <w:rsid w:val="0006746A"/>
    <w:rsid w:val="00067538"/>
    <w:rsid w:val="00071029"/>
    <w:rsid w:val="000722AB"/>
    <w:rsid w:val="00073F88"/>
    <w:rsid w:val="0007440A"/>
    <w:rsid w:val="00075649"/>
    <w:rsid w:val="00077155"/>
    <w:rsid w:val="00077EB1"/>
    <w:rsid w:val="00080351"/>
    <w:rsid w:val="0008270C"/>
    <w:rsid w:val="00083B81"/>
    <w:rsid w:val="00084D3D"/>
    <w:rsid w:val="00086A4A"/>
    <w:rsid w:val="00087D8E"/>
    <w:rsid w:val="0009070A"/>
    <w:rsid w:val="00091021"/>
    <w:rsid w:val="00093A23"/>
    <w:rsid w:val="00093E67"/>
    <w:rsid w:val="00094A5D"/>
    <w:rsid w:val="000A0912"/>
    <w:rsid w:val="000A6405"/>
    <w:rsid w:val="000A6C63"/>
    <w:rsid w:val="000A74AD"/>
    <w:rsid w:val="000A79B4"/>
    <w:rsid w:val="000B2C57"/>
    <w:rsid w:val="000C105D"/>
    <w:rsid w:val="000C18A4"/>
    <w:rsid w:val="000C4F50"/>
    <w:rsid w:val="000C5A3E"/>
    <w:rsid w:val="000C6331"/>
    <w:rsid w:val="000C6FD8"/>
    <w:rsid w:val="000C7014"/>
    <w:rsid w:val="000C7EAC"/>
    <w:rsid w:val="000D0AD2"/>
    <w:rsid w:val="000D16B3"/>
    <w:rsid w:val="000D25EB"/>
    <w:rsid w:val="000D2C7A"/>
    <w:rsid w:val="000D364E"/>
    <w:rsid w:val="000D4676"/>
    <w:rsid w:val="000D565A"/>
    <w:rsid w:val="000D5F20"/>
    <w:rsid w:val="000D62AB"/>
    <w:rsid w:val="000D7608"/>
    <w:rsid w:val="000E0F6A"/>
    <w:rsid w:val="000E1A58"/>
    <w:rsid w:val="000E29DE"/>
    <w:rsid w:val="000E4DFA"/>
    <w:rsid w:val="000E568A"/>
    <w:rsid w:val="000F143A"/>
    <w:rsid w:val="000F301F"/>
    <w:rsid w:val="000F5982"/>
    <w:rsid w:val="000F6012"/>
    <w:rsid w:val="000F75BA"/>
    <w:rsid w:val="000F7E40"/>
    <w:rsid w:val="001012F9"/>
    <w:rsid w:val="00102370"/>
    <w:rsid w:val="001047B3"/>
    <w:rsid w:val="00104FDE"/>
    <w:rsid w:val="00105D50"/>
    <w:rsid w:val="00111530"/>
    <w:rsid w:val="0011658A"/>
    <w:rsid w:val="00117CBB"/>
    <w:rsid w:val="0012118E"/>
    <w:rsid w:val="00121673"/>
    <w:rsid w:val="001219AD"/>
    <w:rsid w:val="00124201"/>
    <w:rsid w:val="001258BB"/>
    <w:rsid w:val="00126346"/>
    <w:rsid w:val="00127935"/>
    <w:rsid w:val="0013323D"/>
    <w:rsid w:val="00134AA1"/>
    <w:rsid w:val="00134B63"/>
    <w:rsid w:val="00135445"/>
    <w:rsid w:val="0013562C"/>
    <w:rsid w:val="00140E59"/>
    <w:rsid w:val="0014172C"/>
    <w:rsid w:val="001425E2"/>
    <w:rsid w:val="0014377E"/>
    <w:rsid w:val="00143E76"/>
    <w:rsid w:val="001440CB"/>
    <w:rsid w:val="0014411E"/>
    <w:rsid w:val="001447F4"/>
    <w:rsid w:val="001450F3"/>
    <w:rsid w:val="00145188"/>
    <w:rsid w:val="001460E2"/>
    <w:rsid w:val="00152922"/>
    <w:rsid w:val="001551EB"/>
    <w:rsid w:val="001562BB"/>
    <w:rsid w:val="00157E1B"/>
    <w:rsid w:val="00161D74"/>
    <w:rsid w:val="00167F5B"/>
    <w:rsid w:val="00167F9F"/>
    <w:rsid w:val="0017225B"/>
    <w:rsid w:val="00173B09"/>
    <w:rsid w:val="00177585"/>
    <w:rsid w:val="001775DD"/>
    <w:rsid w:val="00180F78"/>
    <w:rsid w:val="00180F83"/>
    <w:rsid w:val="001823F4"/>
    <w:rsid w:val="001826C9"/>
    <w:rsid w:val="00182E25"/>
    <w:rsid w:val="0018359C"/>
    <w:rsid w:val="00186ECF"/>
    <w:rsid w:val="00187559"/>
    <w:rsid w:val="0019193E"/>
    <w:rsid w:val="00191E28"/>
    <w:rsid w:val="0019649E"/>
    <w:rsid w:val="001A15BC"/>
    <w:rsid w:val="001A2236"/>
    <w:rsid w:val="001A22B9"/>
    <w:rsid w:val="001A52C4"/>
    <w:rsid w:val="001B41FA"/>
    <w:rsid w:val="001B67D7"/>
    <w:rsid w:val="001B7D31"/>
    <w:rsid w:val="001C2136"/>
    <w:rsid w:val="001C2493"/>
    <w:rsid w:val="001C29F5"/>
    <w:rsid w:val="001C5B57"/>
    <w:rsid w:val="001C6AA5"/>
    <w:rsid w:val="001C6EE5"/>
    <w:rsid w:val="001C7BD0"/>
    <w:rsid w:val="001D2168"/>
    <w:rsid w:val="001D26B7"/>
    <w:rsid w:val="001D3627"/>
    <w:rsid w:val="001D415C"/>
    <w:rsid w:val="001D62B2"/>
    <w:rsid w:val="001D73B1"/>
    <w:rsid w:val="001D77B5"/>
    <w:rsid w:val="001E30AC"/>
    <w:rsid w:val="001E39F2"/>
    <w:rsid w:val="001F010B"/>
    <w:rsid w:val="001F2E9C"/>
    <w:rsid w:val="001F3771"/>
    <w:rsid w:val="00200379"/>
    <w:rsid w:val="002044CA"/>
    <w:rsid w:val="002053EA"/>
    <w:rsid w:val="00210EF9"/>
    <w:rsid w:val="0021115B"/>
    <w:rsid w:val="002131C3"/>
    <w:rsid w:val="00215695"/>
    <w:rsid w:val="00215A43"/>
    <w:rsid w:val="00216750"/>
    <w:rsid w:val="002223AC"/>
    <w:rsid w:val="0022760C"/>
    <w:rsid w:val="00231E8C"/>
    <w:rsid w:val="00233BCF"/>
    <w:rsid w:val="0023518B"/>
    <w:rsid w:val="00235B12"/>
    <w:rsid w:val="00237096"/>
    <w:rsid w:val="0024228E"/>
    <w:rsid w:val="00242774"/>
    <w:rsid w:val="002434AB"/>
    <w:rsid w:val="00243818"/>
    <w:rsid w:val="00244905"/>
    <w:rsid w:val="00245F81"/>
    <w:rsid w:val="0025219C"/>
    <w:rsid w:val="0025231E"/>
    <w:rsid w:val="00252A39"/>
    <w:rsid w:val="0025533E"/>
    <w:rsid w:val="00256646"/>
    <w:rsid w:val="00262481"/>
    <w:rsid w:val="00265205"/>
    <w:rsid w:val="002720E7"/>
    <w:rsid w:val="002725D5"/>
    <w:rsid w:val="002747AC"/>
    <w:rsid w:val="00277983"/>
    <w:rsid w:val="002816A8"/>
    <w:rsid w:val="00281C98"/>
    <w:rsid w:val="002837E6"/>
    <w:rsid w:val="00285B97"/>
    <w:rsid w:val="00291D69"/>
    <w:rsid w:val="0029293F"/>
    <w:rsid w:val="00294B44"/>
    <w:rsid w:val="00295E65"/>
    <w:rsid w:val="002963C3"/>
    <w:rsid w:val="00296E07"/>
    <w:rsid w:val="00297B06"/>
    <w:rsid w:val="002A1442"/>
    <w:rsid w:val="002A1627"/>
    <w:rsid w:val="002A17D6"/>
    <w:rsid w:val="002A3CFF"/>
    <w:rsid w:val="002A5DBD"/>
    <w:rsid w:val="002A66C6"/>
    <w:rsid w:val="002A6C32"/>
    <w:rsid w:val="002A7558"/>
    <w:rsid w:val="002B0FFE"/>
    <w:rsid w:val="002B3889"/>
    <w:rsid w:val="002B474A"/>
    <w:rsid w:val="002B4ED6"/>
    <w:rsid w:val="002B75E5"/>
    <w:rsid w:val="002B77F7"/>
    <w:rsid w:val="002C0061"/>
    <w:rsid w:val="002C0762"/>
    <w:rsid w:val="002C5F6C"/>
    <w:rsid w:val="002D1177"/>
    <w:rsid w:val="002D2F0E"/>
    <w:rsid w:val="002D310B"/>
    <w:rsid w:val="002D7C82"/>
    <w:rsid w:val="002E48DA"/>
    <w:rsid w:val="002E64EF"/>
    <w:rsid w:val="002E69B7"/>
    <w:rsid w:val="002F0AE7"/>
    <w:rsid w:val="002F1168"/>
    <w:rsid w:val="002F5353"/>
    <w:rsid w:val="002F708C"/>
    <w:rsid w:val="00301084"/>
    <w:rsid w:val="00301304"/>
    <w:rsid w:val="003014D6"/>
    <w:rsid w:val="00306A41"/>
    <w:rsid w:val="00310AFC"/>
    <w:rsid w:val="003115B3"/>
    <w:rsid w:val="003122EF"/>
    <w:rsid w:val="00313CCA"/>
    <w:rsid w:val="00314D16"/>
    <w:rsid w:val="003150DD"/>
    <w:rsid w:val="00315468"/>
    <w:rsid w:val="00320A4B"/>
    <w:rsid w:val="0032138F"/>
    <w:rsid w:val="00321B25"/>
    <w:rsid w:val="0032237C"/>
    <w:rsid w:val="00324570"/>
    <w:rsid w:val="00324CAC"/>
    <w:rsid w:val="00326983"/>
    <w:rsid w:val="00330F00"/>
    <w:rsid w:val="00331961"/>
    <w:rsid w:val="00342103"/>
    <w:rsid w:val="00342CCE"/>
    <w:rsid w:val="00343668"/>
    <w:rsid w:val="00345D70"/>
    <w:rsid w:val="003470C2"/>
    <w:rsid w:val="00347E90"/>
    <w:rsid w:val="00350AB1"/>
    <w:rsid w:val="00352639"/>
    <w:rsid w:val="00357E10"/>
    <w:rsid w:val="0036008F"/>
    <w:rsid w:val="0036533E"/>
    <w:rsid w:val="00366E05"/>
    <w:rsid w:val="00370F24"/>
    <w:rsid w:val="00373497"/>
    <w:rsid w:val="00373AFB"/>
    <w:rsid w:val="00380167"/>
    <w:rsid w:val="003811C8"/>
    <w:rsid w:val="003811D5"/>
    <w:rsid w:val="003850F3"/>
    <w:rsid w:val="00385645"/>
    <w:rsid w:val="00391C49"/>
    <w:rsid w:val="003922EB"/>
    <w:rsid w:val="00392C39"/>
    <w:rsid w:val="00396516"/>
    <w:rsid w:val="003A0A42"/>
    <w:rsid w:val="003A15BC"/>
    <w:rsid w:val="003A2E8A"/>
    <w:rsid w:val="003A6A66"/>
    <w:rsid w:val="003B006A"/>
    <w:rsid w:val="003B0937"/>
    <w:rsid w:val="003B0D4F"/>
    <w:rsid w:val="003B2AA1"/>
    <w:rsid w:val="003B519B"/>
    <w:rsid w:val="003B5EE4"/>
    <w:rsid w:val="003B620F"/>
    <w:rsid w:val="003B6AAC"/>
    <w:rsid w:val="003C0AB0"/>
    <w:rsid w:val="003C1584"/>
    <w:rsid w:val="003C3222"/>
    <w:rsid w:val="003C5AB4"/>
    <w:rsid w:val="003D09E6"/>
    <w:rsid w:val="003D1C95"/>
    <w:rsid w:val="003D1E74"/>
    <w:rsid w:val="003D304E"/>
    <w:rsid w:val="003D56EF"/>
    <w:rsid w:val="003D6209"/>
    <w:rsid w:val="003D674A"/>
    <w:rsid w:val="003E0BEB"/>
    <w:rsid w:val="003E0F08"/>
    <w:rsid w:val="003E25AA"/>
    <w:rsid w:val="003E2611"/>
    <w:rsid w:val="003E5915"/>
    <w:rsid w:val="003E68F2"/>
    <w:rsid w:val="003E7D43"/>
    <w:rsid w:val="003F011E"/>
    <w:rsid w:val="003F02A1"/>
    <w:rsid w:val="003F02CD"/>
    <w:rsid w:val="003F2B30"/>
    <w:rsid w:val="003F3ECE"/>
    <w:rsid w:val="00401B77"/>
    <w:rsid w:val="00404578"/>
    <w:rsid w:val="004046A0"/>
    <w:rsid w:val="00406CDC"/>
    <w:rsid w:val="004071B1"/>
    <w:rsid w:val="004115CF"/>
    <w:rsid w:val="0041220F"/>
    <w:rsid w:val="0041261A"/>
    <w:rsid w:val="00413B0B"/>
    <w:rsid w:val="004164BA"/>
    <w:rsid w:val="00423469"/>
    <w:rsid w:val="00423EDB"/>
    <w:rsid w:val="004242B4"/>
    <w:rsid w:val="00424A6D"/>
    <w:rsid w:val="004260ED"/>
    <w:rsid w:val="0043045F"/>
    <w:rsid w:val="00432373"/>
    <w:rsid w:val="004339D0"/>
    <w:rsid w:val="00433B86"/>
    <w:rsid w:val="00437FCF"/>
    <w:rsid w:val="004422F8"/>
    <w:rsid w:val="004469FF"/>
    <w:rsid w:val="004479D6"/>
    <w:rsid w:val="00453A9B"/>
    <w:rsid w:val="00454050"/>
    <w:rsid w:val="00454CB5"/>
    <w:rsid w:val="00454D31"/>
    <w:rsid w:val="004611CA"/>
    <w:rsid w:val="00461350"/>
    <w:rsid w:val="00463BEB"/>
    <w:rsid w:val="00464352"/>
    <w:rsid w:val="00464CAE"/>
    <w:rsid w:val="00464F96"/>
    <w:rsid w:val="00467A04"/>
    <w:rsid w:val="00467CE8"/>
    <w:rsid w:val="0047008B"/>
    <w:rsid w:val="00472167"/>
    <w:rsid w:val="0047347C"/>
    <w:rsid w:val="00481132"/>
    <w:rsid w:val="00481D74"/>
    <w:rsid w:val="0048246F"/>
    <w:rsid w:val="0048373F"/>
    <w:rsid w:val="004852C8"/>
    <w:rsid w:val="0048583F"/>
    <w:rsid w:val="00486C1E"/>
    <w:rsid w:val="00487040"/>
    <w:rsid w:val="00493C20"/>
    <w:rsid w:val="00494AF6"/>
    <w:rsid w:val="00495CF6"/>
    <w:rsid w:val="00496AA8"/>
    <w:rsid w:val="00496DE4"/>
    <w:rsid w:val="004A20F9"/>
    <w:rsid w:val="004A42A3"/>
    <w:rsid w:val="004A63B6"/>
    <w:rsid w:val="004A6CA8"/>
    <w:rsid w:val="004A79AC"/>
    <w:rsid w:val="004B01AA"/>
    <w:rsid w:val="004B025A"/>
    <w:rsid w:val="004B0B13"/>
    <w:rsid w:val="004B14C7"/>
    <w:rsid w:val="004B1A52"/>
    <w:rsid w:val="004B4864"/>
    <w:rsid w:val="004B4B97"/>
    <w:rsid w:val="004B61D8"/>
    <w:rsid w:val="004B6D87"/>
    <w:rsid w:val="004C07A2"/>
    <w:rsid w:val="004C6A13"/>
    <w:rsid w:val="004D08A2"/>
    <w:rsid w:val="004D0AE7"/>
    <w:rsid w:val="004D0E08"/>
    <w:rsid w:val="004D217F"/>
    <w:rsid w:val="004D5830"/>
    <w:rsid w:val="004D5FAA"/>
    <w:rsid w:val="004E0890"/>
    <w:rsid w:val="004E11E5"/>
    <w:rsid w:val="004E30E0"/>
    <w:rsid w:val="004E3444"/>
    <w:rsid w:val="004E3578"/>
    <w:rsid w:val="004E5A4F"/>
    <w:rsid w:val="004E5F30"/>
    <w:rsid w:val="004F04EA"/>
    <w:rsid w:val="004F264E"/>
    <w:rsid w:val="004F3F23"/>
    <w:rsid w:val="004F4662"/>
    <w:rsid w:val="004F54B9"/>
    <w:rsid w:val="004F6130"/>
    <w:rsid w:val="004F74E7"/>
    <w:rsid w:val="004F79F5"/>
    <w:rsid w:val="00504A9C"/>
    <w:rsid w:val="005051F1"/>
    <w:rsid w:val="00510BD5"/>
    <w:rsid w:val="005110B9"/>
    <w:rsid w:val="00511A18"/>
    <w:rsid w:val="005135B8"/>
    <w:rsid w:val="00514378"/>
    <w:rsid w:val="00515177"/>
    <w:rsid w:val="00516013"/>
    <w:rsid w:val="005165F0"/>
    <w:rsid w:val="00520AA5"/>
    <w:rsid w:val="00523272"/>
    <w:rsid w:val="00525144"/>
    <w:rsid w:val="00525301"/>
    <w:rsid w:val="005321D8"/>
    <w:rsid w:val="00533471"/>
    <w:rsid w:val="00533759"/>
    <w:rsid w:val="00533ACB"/>
    <w:rsid w:val="00536B31"/>
    <w:rsid w:val="00537859"/>
    <w:rsid w:val="00542C4E"/>
    <w:rsid w:val="00543415"/>
    <w:rsid w:val="005442AF"/>
    <w:rsid w:val="00545EDB"/>
    <w:rsid w:val="00546D95"/>
    <w:rsid w:val="0054796A"/>
    <w:rsid w:val="005518AF"/>
    <w:rsid w:val="00551C7F"/>
    <w:rsid w:val="00552553"/>
    <w:rsid w:val="005529AD"/>
    <w:rsid w:val="0056588E"/>
    <w:rsid w:val="00565FE0"/>
    <w:rsid w:val="005672B5"/>
    <w:rsid w:val="00567BB0"/>
    <w:rsid w:val="00570274"/>
    <w:rsid w:val="0057220D"/>
    <w:rsid w:val="005725D9"/>
    <w:rsid w:val="00573037"/>
    <w:rsid w:val="00573F87"/>
    <w:rsid w:val="005778BE"/>
    <w:rsid w:val="00581FE7"/>
    <w:rsid w:val="00585432"/>
    <w:rsid w:val="00587182"/>
    <w:rsid w:val="00587539"/>
    <w:rsid w:val="00587E1E"/>
    <w:rsid w:val="005923E2"/>
    <w:rsid w:val="005A0096"/>
    <w:rsid w:val="005A0AB4"/>
    <w:rsid w:val="005A3A88"/>
    <w:rsid w:val="005A5182"/>
    <w:rsid w:val="005A6CAA"/>
    <w:rsid w:val="005B023C"/>
    <w:rsid w:val="005B030D"/>
    <w:rsid w:val="005B0BEA"/>
    <w:rsid w:val="005B28D7"/>
    <w:rsid w:val="005B3506"/>
    <w:rsid w:val="005B4C6F"/>
    <w:rsid w:val="005B52A2"/>
    <w:rsid w:val="005B66B1"/>
    <w:rsid w:val="005B744D"/>
    <w:rsid w:val="005B78E5"/>
    <w:rsid w:val="005C0504"/>
    <w:rsid w:val="005C0DFA"/>
    <w:rsid w:val="005C1796"/>
    <w:rsid w:val="005C27DA"/>
    <w:rsid w:val="005C2D51"/>
    <w:rsid w:val="005C2FFB"/>
    <w:rsid w:val="005C415F"/>
    <w:rsid w:val="005C4BB3"/>
    <w:rsid w:val="005C4E8F"/>
    <w:rsid w:val="005C5577"/>
    <w:rsid w:val="005C5C02"/>
    <w:rsid w:val="005C64A1"/>
    <w:rsid w:val="005C6B73"/>
    <w:rsid w:val="005D2E02"/>
    <w:rsid w:val="005D4376"/>
    <w:rsid w:val="005D475D"/>
    <w:rsid w:val="005D4CC1"/>
    <w:rsid w:val="005D4D9F"/>
    <w:rsid w:val="005E0E51"/>
    <w:rsid w:val="005E3EF6"/>
    <w:rsid w:val="005E4865"/>
    <w:rsid w:val="005E57F5"/>
    <w:rsid w:val="005E5997"/>
    <w:rsid w:val="005E6278"/>
    <w:rsid w:val="005E74BA"/>
    <w:rsid w:val="005F0813"/>
    <w:rsid w:val="005F1161"/>
    <w:rsid w:val="005F1CDB"/>
    <w:rsid w:val="005F2AAE"/>
    <w:rsid w:val="005F3066"/>
    <w:rsid w:val="005F3102"/>
    <w:rsid w:val="005F3433"/>
    <w:rsid w:val="005F3FE2"/>
    <w:rsid w:val="005F53B2"/>
    <w:rsid w:val="005F5636"/>
    <w:rsid w:val="005F654A"/>
    <w:rsid w:val="005F7429"/>
    <w:rsid w:val="00600E4A"/>
    <w:rsid w:val="0060172B"/>
    <w:rsid w:val="0060299B"/>
    <w:rsid w:val="00603D60"/>
    <w:rsid w:val="00605947"/>
    <w:rsid w:val="00613044"/>
    <w:rsid w:val="006145E1"/>
    <w:rsid w:val="00617ED5"/>
    <w:rsid w:val="006248D0"/>
    <w:rsid w:val="00624A69"/>
    <w:rsid w:val="00624B52"/>
    <w:rsid w:val="0063317B"/>
    <w:rsid w:val="00637400"/>
    <w:rsid w:val="00642522"/>
    <w:rsid w:val="00642BAE"/>
    <w:rsid w:val="00643397"/>
    <w:rsid w:val="00643585"/>
    <w:rsid w:val="00643877"/>
    <w:rsid w:val="006476AA"/>
    <w:rsid w:val="00651004"/>
    <w:rsid w:val="00651FFA"/>
    <w:rsid w:val="00654C4A"/>
    <w:rsid w:val="006557C8"/>
    <w:rsid w:val="00662859"/>
    <w:rsid w:val="0066611F"/>
    <w:rsid w:val="006716AA"/>
    <w:rsid w:val="006729ED"/>
    <w:rsid w:val="00672B30"/>
    <w:rsid w:val="00675126"/>
    <w:rsid w:val="00677B76"/>
    <w:rsid w:val="0068056C"/>
    <w:rsid w:val="00681593"/>
    <w:rsid w:val="00682353"/>
    <w:rsid w:val="006826E0"/>
    <w:rsid w:val="00682FE6"/>
    <w:rsid w:val="00683332"/>
    <w:rsid w:val="00685B7F"/>
    <w:rsid w:val="00686C5C"/>
    <w:rsid w:val="00686E0C"/>
    <w:rsid w:val="00687582"/>
    <w:rsid w:val="00687F2E"/>
    <w:rsid w:val="0069026E"/>
    <w:rsid w:val="00691C05"/>
    <w:rsid w:val="00693788"/>
    <w:rsid w:val="0069632F"/>
    <w:rsid w:val="00697AA9"/>
    <w:rsid w:val="006A0918"/>
    <w:rsid w:val="006A2EE2"/>
    <w:rsid w:val="006A503D"/>
    <w:rsid w:val="006A54F6"/>
    <w:rsid w:val="006A6C56"/>
    <w:rsid w:val="006A747E"/>
    <w:rsid w:val="006A7C6B"/>
    <w:rsid w:val="006B43FF"/>
    <w:rsid w:val="006B48C8"/>
    <w:rsid w:val="006B52CD"/>
    <w:rsid w:val="006B5582"/>
    <w:rsid w:val="006B69BE"/>
    <w:rsid w:val="006B6CBA"/>
    <w:rsid w:val="006C0EAC"/>
    <w:rsid w:val="006C23C4"/>
    <w:rsid w:val="006C38C1"/>
    <w:rsid w:val="006C6B67"/>
    <w:rsid w:val="006C6CEB"/>
    <w:rsid w:val="006C778B"/>
    <w:rsid w:val="006D3A6C"/>
    <w:rsid w:val="006D3B5E"/>
    <w:rsid w:val="006D3EC0"/>
    <w:rsid w:val="006D7D46"/>
    <w:rsid w:val="006E1498"/>
    <w:rsid w:val="006E1AD9"/>
    <w:rsid w:val="006E2C8C"/>
    <w:rsid w:val="006E4409"/>
    <w:rsid w:val="006E44D6"/>
    <w:rsid w:val="006E4BF1"/>
    <w:rsid w:val="006E6CA5"/>
    <w:rsid w:val="006E7CF0"/>
    <w:rsid w:val="006F42C5"/>
    <w:rsid w:val="006F579E"/>
    <w:rsid w:val="006F629E"/>
    <w:rsid w:val="006F77BC"/>
    <w:rsid w:val="006F7BDD"/>
    <w:rsid w:val="00700F37"/>
    <w:rsid w:val="007018E1"/>
    <w:rsid w:val="00703201"/>
    <w:rsid w:val="00703C03"/>
    <w:rsid w:val="00704BFB"/>
    <w:rsid w:val="00706853"/>
    <w:rsid w:val="00711852"/>
    <w:rsid w:val="00713582"/>
    <w:rsid w:val="00713EBD"/>
    <w:rsid w:val="0071444B"/>
    <w:rsid w:val="00714B32"/>
    <w:rsid w:val="00717891"/>
    <w:rsid w:val="00724D97"/>
    <w:rsid w:val="0073177D"/>
    <w:rsid w:val="00735E72"/>
    <w:rsid w:val="00736236"/>
    <w:rsid w:val="007413C6"/>
    <w:rsid w:val="00742411"/>
    <w:rsid w:val="00742D10"/>
    <w:rsid w:val="00745708"/>
    <w:rsid w:val="00745BAB"/>
    <w:rsid w:val="00750154"/>
    <w:rsid w:val="007527C7"/>
    <w:rsid w:val="00752A74"/>
    <w:rsid w:val="00754200"/>
    <w:rsid w:val="00754B13"/>
    <w:rsid w:val="00761B36"/>
    <w:rsid w:val="007666B5"/>
    <w:rsid w:val="00771AE3"/>
    <w:rsid w:val="00772841"/>
    <w:rsid w:val="007735D1"/>
    <w:rsid w:val="00773A0A"/>
    <w:rsid w:val="007757D9"/>
    <w:rsid w:val="00777E17"/>
    <w:rsid w:val="00781870"/>
    <w:rsid w:val="007818B6"/>
    <w:rsid w:val="00784952"/>
    <w:rsid w:val="00786212"/>
    <w:rsid w:val="007879C1"/>
    <w:rsid w:val="00791195"/>
    <w:rsid w:val="0079179F"/>
    <w:rsid w:val="00795206"/>
    <w:rsid w:val="00795B47"/>
    <w:rsid w:val="00795E08"/>
    <w:rsid w:val="00797129"/>
    <w:rsid w:val="007A27B4"/>
    <w:rsid w:val="007A2878"/>
    <w:rsid w:val="007A4F09"/>
    <w:rsid w:val="007A5C06"/>
    <w:rsid w:val="007A782F"/>
    <w:rsid w:val="007A7C27"/>
    <w:rsid w:val="007B2A28"/>
    <w:rsid w:val="007B5B31"/>
    <w:rsid w:val="007C03B7"/>
    <w:rsid w:val="007C046E"/>
    <w:rsid w:val="007C2379"/>
    <w:rsid w:val="007C5BB5"/>
    <w:rsid w:val="007D1D64"/>
    <w:rsid w:val="007D495F"/>
    <w:rsid w:val="007D5AD1"/>
    <w:rsid w:val="007D6B85"/>
    <w:rsid w:val="007D6C44"/>
    <w:rsid w:val="007D703F"/>
    <w:rsid w:val="007D7D13"/>
    <w:rsid w:val="007E32D0"/>
    <w:rsid w:val="007E3A47"/>
    <w:rsid w:val="007E6A47"/>
    <w:rsid w:val="007F5B4E"/>
    <w:rsid w:val="007F667C"/>
    <w:rsid w:val="007F66AA"/>
    <w:rsid w:val="007F6959"/>
    <w:rsid w:val="007F73F5"/>
    <w:rsid w:val="007F7AD3"/>
    <w:rsid w:val="00802F97"/>
    <w:rsid w:val="00803E7D"/>
    <w:rsid w:val="00805CAC"/>
    <w:rsid w:val="00806220"/>
    <w:rsid w:val="008063E0"/>
    <w:rsid w:val="008077FD"/>
    <w:rsid w:val="008112FA"/>
    <w:rsid w:val="008131D7"/>
    <w:rsid w:val="0081366C"/>
    <w:rsid w:val="008136A8"/>
    <w:rsid w:val="008137CD"/>
    <w:rsid w:val="00814510"/>
    <w:rsid w:val="00817DE6"/>
    <w:rsid w:val="008236FB"/>
    <w:rsid w:val="00823F3C"/>
    <w:rsid w:val="00825480"/>
    <w:rsid w:val="00826848"/>
    <w:rsid w:val="008269A7"/>
    <w:rsid w:val="00827670"/>
    <w:rsid w:val="008319BD"/>
    <w:rsid w:val="008337AA"/>
    <w:rsid w:val="00834F7B"/>
    <w:rsid w:val="00835336"/>
    <w:rsid w:val="00837585"/>
    <w:rsid w:val="00837F02"/>
    <w:rsid w:val="00840BB5"/>
    <w:rsid w:val="00841E2F"/>
    <w:rsid w:val="008421C3"/>
    <w:rsid w:val="00843CAE"/>
    <w:rsid w:val="008446DA"/>
    <w:rsid w:val="008470E9"/>
    <w:rsid w:val="0084765D"/>
    <w:rsid w:val="00852009"/>
    <w:rsid w:val="008532D8"/>
    <w:rsid w:val="008552F4"/>
    <w:rsid w:val="00855403"/>
    <w:rsid w:val="00856A08"/>
    <w:rsid w:val="008627D6"/>
    <w:rsid w:val="008629AD"/>
    <w:rsid w:val="00865A34"/>
    <w:rsid w:val="008668F8"/>
    <w:rsid w:val="00866F75"/>
    <w:rsid w:val="00870813"/>
    <w:rsid w:val="00870D50"/>
    <w:rsid w:val="00873851"/>
    <w:rsid w:val="00874998"/>
    <w:rsid w:val="00875CCB"/>
    <w:rsid w:val="00875CFD"/>
    <w:rsid w:val="00880F36"/>
    <w:rsid w:val="008813EB"/>
    <w:rsid w:val="00881460"/>
    <w:rsid w:val="008814D3"/>
    <w:rsid w:val="00882D17"/>
    <w:rsid w:val="008865D0"/>
    <w:rsid w:val="00886FF8"/>
    <w:rsid w:val="008915F2"/>
    <w:rsid w:val="00891707"/>
    <w:rsid w:val="00892F5E"/>
    <w:rsid w:val="008931D9"/>
    <w:rsid w:val="008946EE"/>
    <w:rsid w:val="008A152C"/>
    <w:rsid w:val="008A285C"/>
    <w:rsid w:val="008A5B24"/>
    <w:rsid w:val="008A671C"/>
    <w:rsid w:val="008A7B76"/>
    <w:rsid w:val="008B17EB"/>
    <w:rsid w:val="008B1FC7"/>
    <w:rsid w:val="008B28AB"/>
    <w:rsid w:val="008B2D32"/>
    <w:rsid w:val="008B2F69"/>
    <w:rsid w:val="008B4664"/>
    <w:rsid w:val="008B607F"/>
    <w:rsid w:val="008B6302"/>
    <w:rsid w:val="008B69A9"/>
    <w:rsid w:val="008C02AB"/>
    <w:rsid w:val="008C12FB"/>
    <w:rsid w:val="008C17C7"/>
    <w:rsid w:val="008C2181"/>
    <w:rsid w:val="008C24E6"/>
    <w:rsid w:val="008C2937"/>
    <w:rsid w:val="008C3ABA"/>
    <w:rsid w:val="008C47FC"/>
    <w:rsid w:val="008C5150"/>
    <w:rsid w:val="008C5238"/>
    <w:rsid w:val="008C538D"/>
    <w:rsid w:val="008C5C98"/>
    <w:rsid w:val="008C76E9"/>
    <w:rsid w:val="008C7BD3"/>
    <w:rsid w:val="008D101F"/>
    <w:rsid w:val="008D20AB"/>
    <w:rsid w:val="008D27F8"/>
    <w:rsid w:val="008D4CF2"/>
    <w:rsid w:val="008D5010"/>
    <w:rsid w:val="008D7CEC"/>
    <w:rsid w:val="008E152A"/>
    <w:rsid w:val="008E64C2"/>
    <w:rsid w:val="008E7A78"/>
    <w:rsid w:val="008F03A5"/>
    <w:rsid w:val="008F05F8"/>
    <w:rsid w:val="008F0D31"/>
    <w:rsid w:val="008F17E9"/>
    <w:rsid w:val="008F1B17"/>
    <w:rsid w:val="008F6B15"/>
    <w:rsid w:val="008F6C4F"/>
    <w:rsid w:val="008F7B15"/>
    <w:rsid w:val="008F7B99"/>
    <w:rsid w:val="0090585A"/>
    <w:rsid w:val="00906965"/>
    <w:rsid w:val="00907BF1"/>
    <w:rsid w:val="009122A1"/>
    <w:rsid w:val="00912B88"/>
    <w:rsid w:val="00913312"/>
    <w:rsid w:val="0091404C"/>
    <w:rsid w:val="0091658E"/>
    <w:rsid w:val="00922483"/>
    <w:rsid w:val="00922818"/>
    <w:rsid w:val="009257DB"/>
    <w:rsid w:val="009324F1"/>
    <w:rsid w:val="00934813"/>
    <w:rsid w:val="00934BF1"/>
    <w:rsid w:val="00935DA0"/>
    <w:rsid w:val="00936481"/>
    <w:rsid w:val="00936A92"/>
    <w:rsid w:val="00940A78"/>
    <w:rsid w:val="00942FF6"/>
    <w:rsid w:val="009443D8"/>
    <w:rsid w:val="00946E23"/>
    <w:rsid w:val="0094787E"/>
    <w:rsid w:val="00950034"/>
    <w:rsid w:val="009522DF"/>
    <w:rsid w:val="00952AAE"/>
    <w:rsid w:val="0095340E"/>
    <w:rsid w:val="009537CC"/>
    <w:rsid w:val="00953E73"/>
    <w:rsid w:val="0095458A"/>
    <w:rsid w:val="00955B64"/>
    <w:rsid w:val="00962BB1"/>
    <w:rsid w:val="0096388A"/>
    <w:rsid w:val="009646F0"/>
    <w:rsid w:val="00965288"/>
    <w:rsid w:val="00966EF7"/>
    <w:rsid w:val="00971726"/>
    <w:rsid w:val="00971CD0"/>
    <w:rsid w:val="00972820"/>
    <w:rsid w:val="009740DE"/>
    <w:rsid w:val="00980E98"/>
    <w:rsid w:val="00981714"/>
    <w:rsid w:val="00982C9A"/>
    <w:rsid w:val="00984028"/>
    <w:rsid w:val="00984551"/>
    <w:rsid w:val="009857B4"/>
    <w:rsid w:val="00985D84"/>
    <w:rsid w:val="00987F20"/>
    <w:rsid w:val="00992D69"/>
    <w:rsid w:val="00993A56"/>
    <w:rsid w:val="0099602B"/>
    <w:rsid w:val="009A1D23"/>
    <w:rsid w:val="009A2A59"/>
    <w:rsid w:val="009A4834"/>
    <w:rsid w:val="009A49B6"/>
    <w:rsid w:val="009A4A75"/>
    <w:rsid w:val="009A6AB6"/>
    <w:rsid w:val="009B1B40"/>
    <w:rsid w:val="009B50F5"/>
    <w:rsid w:val="009B5F78"/>
    <w:rsid w:val="009B622E"/>
    <w:rsid w:val="009B689A"/>
    <w:rsid w:val="009C07BE"/>
    <w:rsid w:val="009C0B15"/>
    <w:rsid w:val="009C0BEB"/>
    <w:rsid w:val="009C20A9"/>
    <w:rsid w:val="009C230C"/>
    <w:rsid w:val="009C318C"/>
    <w:rsid w:val="009C3B61"/>
    <w:rsid w:val="009C3FEE"/>
    <w:rsid w:val="009C44E7"/>
    <w:rsid w:val="009C6302"/>
    <w:rsid w:val="009D0749"/>
    <w:rsid w:val="009D1491"/>
    <w:rsid w:val="009D197B"/>
    <w:rsid w:val="009D2266"/>
    <w:rsid w:val="009D3673"/>
    <w:rsid w:val="009D4167"/>
    <w:rsid w:val="009D6050"/>
    <w:rsid w:val="009D66E4"/>
    <w:rsid w:val="009D6E1F"/>
    <w:rsid w:val="009D78A7"/>
    <w:rsid w:val="009E0ADC"/>
    <w:rsid w:val="009E24D1"/>
    <w:rsid w:val="009E4E33"/>
    <w:rsid w:val="009E5CEE"/>
    <w:rsid w:val="009E685C"/>
    <w:rsid w:val="009E7291"/>
    <w:rsid w:val="009E7555"/>
    <w:rsid w:val="009F0F91"/>
    <w:rsid w:val="009F1938"/>
    <w:rsid w:val="009F2F8F"/>
    <w:rsid w:val="009F445A"/>
    <w:rsid w:val="009F4FF7"/>
    <w:rsid w:val="009F78C1"/>
    <w:rsid w:val="009F7D21"/>
    <w:rsid w:val="00A01C60"/>
    <w:rsid w:val="00A03EAF"/>
    <w:rsid w:val="00A07BB9"/>
    <w:rsid w:val="00A126B8"/>
    <w:rsid w:val="00A13207"/>
    <w:rsid w:val="00A13A93"/>
    <w:rsid w:val="00A14F34"/>
    <w:rsid w:val="00A1549C"/>
    <w:rsid w:val="00A158A6"/>
    <w:rsid w:val="00A16537"/>
    <w:rsid w:val="00A174D8"/>
    <w:rsid w:val="00A17539"/>
    <w:rsid w:val="00A210C8"/>
    <w:rsid w:val="00A211FB"/>
    <w:rsid w:val="00A21BCA"/>
    <w:rsid w:val="00A2222A"/>
    <w:rsid w:val="00A22E47"/>
    <w:rsid w:val="00A23D2D"/>
    <w:rsid w:val="00A25D41"/>
    <w:rsid w:val="00A26788"/>
    <w:rsid w:val="00A2718A"/>
    <w:rsid w:val="00A27606"/>
    <w:rsid w:val="00A27C81"/>
    <w:rsid w:val="00A30844"/>
    <w:rsid w:val="00A31108"/>
    <w:rsid w:val="00A33BD8"/>
    <w:rsid w:val="00A36030"/>
    <w:rsid w:val="00A40F72"/>
    <w:rsid w:val="00A4133F"/>
    <w:rsid w:val="00A42EA2"/>
    <w:rsid w:val="00A45145"/>
    <w:rsid w:val="00A46F78"/>
    <w:rsid w:val="00A477CE"/>
    <w:rsid w:val="00A47AAC"/>
    <w:rsid w:val="00A50D6C"/>
    <w:rsid w:val="00A5247A"/>
    <w:rsid w:val="00A53A2D"/>
    <w:rsid w:val="00A54201"/>
    <w:rsid w:val="00A55D8C"/>
    <w:rsid w:val="00A57052"/>
    <w:rsid w:val="00A600C9"/>
    <w:rsid w:val="00A606AD"/>
    <w:rsid w:val="00A63963"/>
    <w:rsid w:val="00A65007"/>
    <w:rsid w:val="00A656A8"/>
    <w:rsid w:val="00A6648A"/>
    <w:rsid w:val="00A67F5A"/>
    <w:rsid w:val="00A70523"/>
    <w:rsid w:val="00A70CC4"/>
    <w:rsid w:val="00A7233C"/>
    <w:rsid w:val="00A726ED"/>
    <w:rsid w:val="00A73215"/>
    <w:rsid w:val="00A73DA6"/>
    <w:rsid w:val="00A770F1"/>
    <w:rsid w:val="00A77CC5"/>
    <w:rsid w:val="00A81244"/>
    <w:rsid w:val="00A81520"/>
    <w:rsid w:val="00A8264E"/>
    <w:rsid w:val="00A87D8D"/>
    <w:rsid w:val="00A91005"/>
    <w:rsid w:val="00A92882"/>
    <w:rsid w:val="00A92F6F"/>
    <w:rsid w:val="00A93ADE"/>
    <w:rsid w:val="00A95403"/>
    <w:rsid w:val="00A95518"/>
    <w:rsid w:val="00A969C9"/>
    <w:rsid w:val="00A96E65"/>
    <w:rsid w:val="00AA708A"/>
    <w:rsid w:val="00AB2231"/>
    <w:rsid w:val="00AB2788"/>
    <w:rsid w:val="00AB4965"/>
    <w:rsid w:val="00AB49B5"/>
    <w:rsid w:val="00AB6244"/>
    <w:rsid w:val="00AB6A7C"/>
    <w:rsid w:val="00AB6F2A"/>
    <w:rsid w:val="00AB764B"/>
    <w:rsid w:val="00AC1C08"/>
    <w:rsid w:val="00AC2F6C"/>
    <w:rsid w:val="00AC3263"/>
    <w:rsid w:val="00AC3574"/>
    <w:rsid w:val="00AC3634"/>
    <w:rsid w:val="00AC4793"/>
    <w:rsid w:val="00AC50D4"/>
    <w:rsid w:val="00AC634E"/>
    <w:rsid w:val="00AD2144"/>
    <w:rsid w:val="00AD2633"/>
    <w:rsid w:val="00AD2F74"/>
    <w:rsid w:val="00AD3244"/>
    <w:rsid w:val="00AD4198"/>
    <w:rsid w:val="00AD4E06"/>
    <w:rsid w:val="00AD6145"/>
    <w:rsid w:val="00AD65C8"/>
    <w:rsid w:val="00AE231E"/>
    <w:rsid w:val="00AE28D8"/>
    <w:rsid w:val="00AE5BB0"/>
    <w:rsid w:val="00AE654F"/>
    <w:rsid w:val="00AE66EB"/>
    <w:rsid w:val="00AF65DB"/>
    <w:rsid w:val="00AF668D"/>
    <w:rsid w:val="00AF7ADB"/>
    <w:rsid w:val="00B00A8A"/>
    <w:rsid w:val="00B034F2"/>
    <w:rsid w:val="00B03789"/>
    <w:rsid w:val="00B043AE"/>
    <w:rsid w:val="00B04FDA"/>
    <w:rsid w:val="00B05527"/>
    <w:rsid w:val="00B05672"/>
    <w:rsid w:val="00B05B30"/>
    <w:rsid w:val="00B152B7"/>
    <w:rsid w:val="00B169D3"/>
    <w:rsid w:val="00B17797"/>
    <w:rsid w:val="00B17A62"/>
    <w:rsid w:val="00B20365"/>
    <w:rsid w:val="00B20A63"/>
    <w:rsid w:val="00B20F66"/>
    <w:rsid w:val="00B2187E"/>
    <w:rsid w:val="00B21AC9"/>
    <w:rsid w:val="00B2217F"/>
    <w:rsid w:val="00B22A0D"/>
    <w:rsid w:val="00B22C66"/>
    <w:rsid w:val="00B2426C"/>
    <w:rsid w:val="00B2541D"/>
    <w:rsid w:val="00B30E1B"/>
    <w:rsid w:val="00B31521"/>
    <w:rsid w:val="00B34718"/>
    <w:rsid w:val="00B37FCB"/>
    <w:rsid w:val="00B40B66"/>
    <w:rsid w:val="00B4187A"/>
    <w:rsid w:val="00B455F7"/>
    <w:rsid w:val="00B476C7"/>
    <w:rsid w:val="00B476D1"/>
    <w:rsid w:val="00B50903"/>
    <w:rsid w:val="00B5117F"/>
    <w:rsid w:val="00B51269"/>
    <w:rsid w:val="00B52C04"/>
    <w:rsid w:val="00B600FE"/>
    <w:rsid w:val="00B60AB9"/>
    <w:rsid w:val="00B60EFF"/>
    <w:rsid w:val="00B6183E"/>
    <w:rsid w:val="00B61C2A"/>
    <w:rsid w:val="00B62AB0"/>
    <w:rsid w:val="00B63197"/>
    <w:rsid w:val="00B6612A"/>
    <w:rsid w:val="00B66155"/>
    <w:rsid w:val="00B672FA"/>
    <w:rsid w:val="00B70A18"/>
    <w:rsid w:val="00B7175C"/>
    <w:rsid w:val="00B730E5"/>
    <w:rsid w:val="00B744FD"/>
    <w:rsid w:val="00B752EC"/>
    <w:rsid w:val="00B753B5"/>
    <w:rsid w:val="00B7615B"/>
    <w:rsid w:val="00B769FE"/>
    <w:rsid w:val="00B8643D"/>
    <w:rsid w:val="00B92F32"/>
    <w:rsid w:val="00B93D38"/>
    <w:rsid w:val="00B976D1"/>
    <w:rsid w:val="00BA0AC4"/>
    <w:rsid w:val="00BA1177"/>
    <w:rsid w:val="00BA466C"/>
    <w:rsid w:val="00BA5948"/>
    <w:rsid w:val="00BA5C7A"/>
    <w:rsid w:val="00BA644E"/>
    <w:rsid w:val="00BA7361"/>
    <w:rsid w:val="00BB12AE"/>
    <w:rsid w:val="00BB2FE4"/>
    <w:rsid w:val="00BB329A"/>
    <w:rsid w:val="00BB3AE8"/>
    <w:rsid w:val="00BB5921"/>
    <w:rsid w:val="00BB5C5F"/>
    <w:rsid w:val="00BC0FB7"/>
    <w:rsid w:val="00BC12F1"/>
    <w:rsid w:val="00BC14DD"/>
    <w:rsid w:val="00BC1EB5"/>
    <w:rsid w:val="00BC2CC7"/>
    <w:rsid w:val="00BC35A1"/>
    <w:rsid w:val="00BC6651"/>
    <w:rsid w:val="00BD0B38"/>
    <w:rsid w:val="00BD1C5B"/>
    <w:rsid w:val="00BD394F"/>
    <w:rsid w:val="00BD4378"/>
    <w:rsid w:val="00BD4BE2"/>
    <w:rsid w:val="00BD4C92"/>
    <w:rsid w:val="00BD53D3"/>
    <w:rsid w:val="00BD667F"/>
    <w:rsid w:val="00BD6AFD"/>
    <w:rsid w:val="00BE03CF"/>
    <w:rsid w:val="00BE10B6"/>
    <w:rsid w:val="00BE192E"/>
    <w:rsid w:val="00BE2EAB"/>
    <w:rsid w:val="00BE2FD2"/>
    <w:rsid w:val="00BE372A"/>
    <w:rsid w:val="00BE373B"/>
    <w:rsid w:val="00BE42C7"/>
    <w:rsid w:val="00BE50D6"/>
    <w:rsid w:val="00BE5DC4"/>
    <w:rsid w:val="00BE6A69"/>
    <w:rsid w:val="00BE6D78"/>
    <w:rsid w:val="00BE6E0F"/>
    <w:rsid w:val="00BE7A36"/>
    <w:rsid w:val="00BF4A86"/>
    <w:rsid w:val="00BF5687"/>
    <w:rsid w:val="00BF5C6E"/>
    <w:rsid w:val="00C026FA"/>
    <w:rsid w:val="00C043CD"/>
    <w:rsid w:val="00C04FBB"/>
    <w:rsid w:val="00C05E8D"/>
    <w:rsid w:val="00C06304"/>
    <w:rsid w:val="00C16073"/>
    <w:rsid w:val="00C173D8"/>
    <w:rsid w:val="00C20237"/>
    <w:rsid w:val="00C34328"/>
    <w:rsid w:val="00C35377"/>
    <w:rsid w:val="00C369D3"/>
    <w:rsid w:val="00C379D0"/>
    <w:rsid w:val="00C4049F"/>
    <w:rsid w:val="00C4311B"/>
    <w:rsid w:val="00C4442A"/>
    <w:rsid w:val="00C4460C"/>
    <w:rsid w:val="00C46584"/>
    <w:rsid w:val="00C46AFF"/>
    <w:rsid w:val="00C51841"/>
    <w:rsid w:val="00C51E04"/>
    <w:rsid w:val="00C5644B"/>
    <w:rsid w:val="00C56C7C"/>
    <w:rsid w:val="00C5725A"/>
    <w:rsid w:val="00C60EF3"/>
    <w:rsid w:val="00C640C8"/>
    <w:rsid w:val="00C64E82"/>
    <w:rsid w:val="00C6608A"/>
    <w:rsid w:val="00C713FF"/>
    <w:rsid w:val="00C71F82"/>
    <w:rsid w:val="00C82299"/>
    <w:rsid w:val="00C8311C"/>
    <w:rsid w:val="00C832C6"/>
    <w:rsid w:val="00C844DB"/>
    <w:rsid w:val="00C84BCC"/>
    <w:rsid w:val="00C8517F"/>
    <w:rsid w:val="00C858B0"/>
    <w:rsid w:val="00C9036F"/>
    <w:rsid w:val="00C91D35"/>
    <w:rsid w:val="00C9216C"/>
    <w:rsid w:val="00C959A2"/>
    <w:rsid w:val="00C9615A"/>
    <w:rsid w:val="00C9778C"/>
    <w:rsid w:val="00C97C7A"/>
    <w:rsid w:val="00CA07BD"/>
    <w:rsid w:val="00CA0AEB"/>
    <w:rsid w:val="00CA284F"/>
    <w:rsid w:val="00CA3C26"/>
    <w:rsid w:val="00CA4668"/>
    <w:rsid w:val="00CA4AEA"/>
    <w:rsid w:val="00CB17BC"/>
    <w:rsid w:val="00CB1EA5"/>
    <w:rsid w:val="00CB2705"/>
    <w:rsid w:val="00CB3932"/>
    <w:rsid w:val="00CB7EFC"/>
    <w:rsid w:val="00CC3BDD"/>
    <w:rsid w:val="00CC4670"/>
    <w:rsid w:val="00CC6461"/>
    <w:rsid w:val="00CD010B"/>
    <w:rsid w:val="00CE0775"/>
    <w:rsid w:val="00CE10F4"/>
    <w:rsid w:val="00CE121C"/>
    <w:rsid w:val="00CE283F"/>
    <w:rsid w:val="00CE3436"/>
    <w:rsid w:val="00CE405B"/>
    <w:rsid w:val="00CE7067"/>
    <w:rsid w:val="00CE7513"/>
    <w:rsid w:val="00CF1BFD"/>
    <w:rsid w:val="00CF21AB"/>
    <w:rsid w:val="00CF56AF"/>
    <w:rsid w:val="00CF764B"/>
    <w:rsid w:val="00D00133"/>
    <w:rsid w:val="00D01BDE"/>
    <w:rsid w:val="00D01F67"/>
    <w:rsid w:val="00D079C3"/>
    <w:rsid w:val="00D07C32"/>
    <w:rsid w:val="00D10448"/>
    <w:rsid w:val="00D1369D"/>
    <w:rsid w:val="00D148EE"/>
    <w:rsid w:val="00D16141"/>
    <w:rsid w:val="00D175BC"/>
    <w:rsid w:val="00D21F8D"/>
    <w:rsid w:val="00D2241D"/>
    <w:rsid w:val="00D2420E"/>
    <w:rsid w:val="00D24529"/>
    <w:rsid w:val="00D25631"/>
    <w:rsid w:val="00D270E7"/>
    <w:rsid w:val="00D3380F"/>
    <w:rsid w:val="00D36143"/>
    <w:rsid w:val="00D36538"/>
    <w:rsid w:val="00D413B4"/>
    <w:rsid w:val="00D438C2"/>
    <w:rsid w:val="00D4458A"/>
    <w:rsid w:val="00D457F0"/>
    <w:rsid w:val="00D471CB"/>
    <w:rsid w:val="00D50DEE"/>
    <w:rsid w:val="00D52BA0"/>
    <w:rsid w:val="00D543E0"/>
    <w:rsid w:val="00D5471F"/>
    <w:rsid w:val="00D5511A"/>
    <w:rsid w:val="00D553BA"/>
    <w:rsid w:val="00D559B4"/>
    <w:rsid w:val="00D562C7"/>
    <w:rsid w:val="00D576C4"/>
    <w:rsid w:val="00D6065D"/>
    <w:rsid w:val="00D63C01"/>
    <w:rsid w:val="00D7077D"/>
    <w:rsid w:val="00D717BE"/>
    <w:rsid w:val="00D72795"/>
    <w:rsid w:val="00D76903"/>
    <w:rsid w:val="00D82434"/>
    <w:rsid w:val="00D87118"/>
    <w:rsid w:val="00D87CE8"/>
    <w:rsid w:val="00D90241"/>
    <w:rsid w:val="00D913EF"/>
    <w:rsid w:val="00D918BB"/>
    <w:rsid w:val="00D91EA8"/>
    <w:rsid w:val="00D93F3B"/>
    <w:rsid w:val="00DA0954"/>
    <w:rsid w:val="00DA0E1B"/>
    <w:rsid w:val="00DA0FCF"/>
    <w:rsid w:val="00DA1793"/>
    <w:rsid w:val="00DA3228"/>
    <w:rsid w:val="00DA3808"/>
    <w:rsid w:val="00DA58AA"/>
    <w:rsid w:val="00DB0461"/>
    <w:rsid w:val="00DB4CF3"/>
    <w:rsid w:val="00DB58B2"/>
    <w:rsid w:val="00DB668C"/>
    <w:rsid w:val="00DC0B6A"/>
    <w:rsid w:val="00DC1246"/>
    <w:rsid w:val="00DC2875"/>
    <w:rsid w:val="00DC57F0"/>
    <w:rsid w:val="00DC5CAF"/>
    <w:rsid w:val="00DD12E9"/>
    <w:rsid w:val="00DD1994"/>
    <w:rsid w:val="00DD2FA7"/>
    <w:rsid w:val="00DD6054"/>
    <w:rsid w:val="00DE1620"/>
    <w:rsid w:val="00DE3BE5"/>
    <w:rsid w:val="00DE6BB9"/>
    <w:rsid w:val="00DE6CB1"/>
    <w:rsid w:val="00DF2821"/>
    <w:rsid w:val="00DF2DDC"/>
    <w:rsid w:val="00DF36DF"/>
    <w:rsid w:val="00DF5006"/>
    <w:rsid w:val="00DF5308"/>
    <w:rsid w:val="00DF6A13"/>
    <w:rsid w:val="00E000F0"/>
    <w:rsid w:val="00E004BE"/>
    <w:rsid w:val="00E0058E"/>
    <w:rsid w:val="00E0359C"/>
    <w:rsid w:val="00E1027D"/>
    <w:rsid w:val="00E11F1C"/>
    <w:rsid w:val="00E1286C"/>
    <w:rsid w:val="00E12A1D"/>
    <w:rsid w:val="00E139C4"/>
    <w:rsid w:val="00E17248"/>
    <w:rsid w:val="00E215D9"/>
    <w:rsid w:val="00E2172D"/>
    <w:rsid w:val="00E21D26"/>
    <w:rsid w:val="00E22255"/>
    <w:rsid w:val="00E2499B"/>
    <w:rsid w:val="00E26E74"/>
    <w:rsid w:val="00E31C08"/>
    <w:rsid w:val="00E3256E"/>
    <w:rsid w:val="00E34D9F"/>
    <w:rsid w:val="00E41312"/>
    <w:rsid w:val="00E41D20"/>
    <w:rsid w:val="00E42DC8"/>
    <w:rsid w:val="00E43AF8"/>
    <w:rsid w:val="00E443AA"/>
    <w:rsid w:val="00E50E5C"/>
    <w:rsid w:val="00E511BB"/>
    <w:rsid w:val="00E51434"/>
    <w:rsid w:val="00E52F26"/>
    <w:rsid w:val="00E53572"/>
    <w:rsid w:val="00E558D3"/>
    <w:rsid w:val="00E6134A"/>
    <w:rsid w:val="00E65350"/>
    <w:rsid w:val="00E6683F"/>
    <w:rsid w:val="00E670FD"/>
    <w:rsid w:val="00E67B08"/>
    <w:rsid w:val="00E72F6D"/>
    <w:rsid w:val="00E73267"/>
    <w:rsid w:val="00E73E32"/>
    <w:rsid w:val="00E762F5"/>
    <w:rsid w:val="00E77247"/>
    <w:rsid w:val="00E80514"/>
    <w:rsid w:val="00E81708"/>
    <w:rsid w:val="00E81E61"/>
    <w:rsid w:val="00E8255E"/>
    <w:rsid w:val="00E832FE"/>
    <w:rsid w:val="00E83937"/>
    <w:rsid w:val="00E86BEE"/>
    <w:rsid w:val="00E878B5"/>
    <w:rsid w:val="00E87DA0"/>
    <w:rsid w:val="00E9233A"/>
    <w:rsid w:val="00E96F1C"/>
    <w:rsid w:val="00EA3133"/>
    <w:rsid w:val="00EA31FD"/>
    <w:rsid w:val="00EA3289"/>
    <w:rsid w:val="00EA3EAD"/>
    <w:rsid w:val="00EA628A"/>
    <w:rsid w:val="00EA7036"/>
    <w:rsid w:val="00EB07DE"/>
    <w:rsid w:val="00EB11B6"/>
    <w:rsid w:val="00EB21FB"/>
    <w:rsid w:val="00EB2254"/>
    <w:rsid w:val="00EB3B18"/>
    <w:rsid w:val="00EB5181"/>
    <w:rsid w:val="00EB5684"/>
    <w:rsid w:val="00EB6A9E"/>
    <w:rsid w:val="00EC0C60"/>
    <w:rsid w:val="00EC3EDD"/>
    <w:rsid w:val="00EC79F3"/>
    <w:rsid w:val="00ED1433"/>
    <w:rsid w:val="00ED2D27"/>
    <w:rsid w:val="00ED4425"/>
    <w:rsid w:val="00ED443F"/>
    <w:rsid w:val="00ED5AF8"/>
    <w:rsid w:val="00ED607B"/>
    <w:rsid w:val="00ED6DA3"/>
    <w:rsid w:val="00ED7D5C"/>
    <w:rsid w:val="00EE0E46"/>
    <w:rsid w:val="00EE14BB"/>
    <w:rsid w:val="00EE1876"/>
    <w:rsid w:val="00EE1AD2"/>
    <w:rsid w:val="00EE4001"/>
    <w:rsid w:val="00EE5D9E"/>
    <w:rsid w:val="00EE6094"/>
    <w:rsid w:val="00EF04D6"/>
    <w:rsid w:val="00EF0CB4"/>
    <w:rsid w:val="00EF0CDD"/>
    <w:rsid w:val="00EF170D"/>
    <w:rsid w:val="00EF1D52"/>
    <w:rsid w:val="00EF220E"/>
    <w:rsid w:val="00EF309E"/>
    <w:rsid w:val="00EF44C0"/>
    <w:rsid w:val="00EF61FB"/>
    <w:rsid w:val="00F00B1C"/>
    <w:rsid w:val="00F00EA0"/>
    <w:rsid w:val="00F0139C"/>
    <w:rsid w:val="00F01536"/>
    <w:rsid w:val="00F034F6"/>
    <w:rsid w:val="00F0476E"/>
    <w:rsid w:val="00F065B2"/>
    <w:rsid w:val="00F07503"/>
    <w:rsid w:val="00F100DB"/>
    <w:rsid w:val="00F116AF"/>
    <w:rsid w:val="00F119B5"/>
    <w:rsid w:val="00F16BBF"/>
    <w:rsid w:val="00F17B99"/>
    <w:rsid w:val="00F204B7"/>
    <w:rsid w:val="00F223F8"/>
    <w:rsid w:val="00F23AAE"/>
    <w:rsid w:val="00F23C45"/>
    <w:rsid w:val="00F23CA4"/>
    <w:rsid w:val="00F26E12"/>
    <w:rsid w:val="00F30083"/>
    <w:rsid w:val="00F30A03"/>
    <w:rsid w:val="00F36070"/>
    <w:rsid w:val="00F3657B"/>
    <w:rsid w:val="00F36AD3"/>
    <w:rsid w:val="00F37665"/>
    <w:rsid w:val="00F37750"/>
    <w:rsid w:val="00F40CDC"/>
    <w:rsid w:val="00F40E24"/>
    <w:rsid w:val="00F4492B"/>
    <w:rsid w:val="00F4598C"/>
    <w:rsid w:val="00F513EF"/>
    <w:rsid w:val="00F519A2"/>
    <w:rsid w:val="00F51CCB"/>
    <w:rsid w:val="00F51D4F"/>
    <w:rsid w:val="00F51FE9"/>
    <w:rsid w:val="00F522AE"/>
    <w:rsid w:val="00F52488"/>
    <w:rsid w:val="00F5355F"/>
    <w:rsid w:val="00F551F2"/>
    <w:rsid w:val="00F6057A"/>
    <w:rsid w:val="00F60E97"/>
    <w:rsid w:val="00F6107B"/>
    <w:rsid w:val="00F63FFD"/>
    <w:rsid w:val="00F645FE"/>
    <w:rsid w:val="00F6560B"/>
    <w:rsid w:val="00F6560F"/>
    <w:rsid w:val="00F6599E"/>
    <w:rsid w:val="00F70CCB"/>
    <w:rsid w:val="00F72643"/>
    <w:rsid w:val="00F72764"/>
    <w:rsid w:val="00F7356A"/>
    <w:rsid w:val="00F74838"/>
    <w:rsid w:val="00F76152"/>
    <w:rsid w:val="00F81395"/>
    <w:rsid w:val="00F820AD"/>
    <w:rsid w:val="00F82A11"/>
    <w:rsid w:val="00F85583"/>
    <w:rsid w:val="00F85E9F"/>
    <w:rsid w:val="00F91CC6"/>
    <w:rsid w:val="00F93321"/>
    <w:rsid w:val="00F96081"/>
    <w:rsid w:val="00F97112"/>
    <w:rsid w:val="00F97399"/>
    <w:rsid w:val="00F976AB"/>
    <w:rsid w:val="00FA1358"/>
    <w:rsid w:val="00FA1C8C"/>
    <w:rsid w:val="00FA3286"/>
    <w:rsid w:val="00FA40F2"/>
    <w:rsid w:val="00FA482C"/>
    <w:rsid w:val="00FA4EDB"/>
    <w:rsid w:val="00FA5D6C"/>
    <w:rsid w:val="00FA676E"/>
    <w:rsid w:val="00FA6B78"/>
    <w:rsid w:val="00FB122B"/>
    <w:rsid w:val="00FB17FD"/>
    <w:rsid w:val="00FB29B9"/>
    <w:rsid w:val="00FB4C1B"/>
    <w:rsid w:val="00FB7536"/>
    <w:rsid w:val="00FB772F"/>
    <w:rsid w:val="00FC03BB"/>
    <w:rsid w:val="00FC14C4"/>
    <w:rsid w:val="00FC3ED9"/>
    <w:rsid w:val="00FC54E6"/>
    <w:rsid w:val="00FC56D1"/>
    <w:rsid w:val="00FC627D"/>
    <w:rsid w:val="00FD1E11"/>
    <w:rsid w:val="00FD287F"/>
    <w:rsid w:val="00FD5EA2"/>
    <w:rsid w:val="00FD6763"/>
    <w:rsid w:val="00FD68C6"/>
    <w:rsid w:val="00FD6939"/>
    <w:rsid w:val="00FE00C4"/>
    <w:rsid w:val="00FE0B43"/>
    <w:rsid w:val="00FE67E7"/>
    <w:rsid w:val="00FE6B63"/>
    <w:rsid w:val="00FF1320"/>
    <w:rsid w:val="00FF1631"/>
    <w:rsid w:val="00FF4594"/>
    <w:rsid w:val="00FF45CA"/>
    <w:rsid w:val="00FF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00207F"/>
  <w14:defaultImageDpi w14:val="32767"/>
  <w15:chartTrackingRefBased/>
  <w15:docId w15:val="{61E615C6-3F02-9A40-87FE-28CD48D1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E0F08"/>
    <w:rPr>
      <w:sz w:val="22"/>
    </w:rPr>
  </w:style>
  <w:style w:type="paragraph" w:styleId="Heading1">
    <w:name w:val="heading 1"/>
    <w:basedOn w:val="Normal"/>
    <w:link w:val="Heading1Char"/>
    <w:qFormat/>
    <w:rsid w:val="0001277B"/>
    <w:pPr>
      <w:spacing w:beforeAutospacing="1" w:afterAutospacing="1"/>
      <w:outlineLvl w:val="0"/>
    </w:pPr>
    <w:rPr>
      <w:rFonts w:eastAsia="Times New Roman" w:cs="Times New Roman"/>
      <w:b/>
      <w:bCs/>
      <w:kern w:val="36"/>
      <w:sz w:val="24"/>
      <w:szCs w:val="48"/>
      <w:lang w:eastAsia="en-GB"/>
    </w:rPr>
  </w:style>
  <w:style w:type="paragraph" w:styleId="Heading2">
    <w:name w:val="heading 2"/>
    <w:basedOn w:val="Normal"/>
    <w:next w:val="Normal"/>
    <w:link w:val="Heading2Char"/>
    <w:unhideWhenUsed/>
    <w:qFormat/>
    <w:rsid w:val="003E0F08"/>
    <w:pPr>
      <w:keepNext/>
      <w:keepLines/>
      <w:spacing w:before="40"/>
      <w:outlineLvl w:val="1"/>
    </w:pPr>
    <w:rPr>
      <w:rFonts w:eastAsiaTheme="majorEastAsia" w:cstheme="majorBidi"/>
      <w:b/>
      <w:szCs w:val="26"/>
    </w:rPr>
  </w:style>
  <w:style w:type="paragraph" w:styleId="Heading3">
    <w:name w:val="heading 3"/>
    <w:basedOn w:val="Normal"/>
    <w:next w:val="Normal"/>
    <w:link w:val="Heading3Char"/>
    <w:qFormat/>
    <w:rsid w:val="005F3433"/>
    <w:pPr>
      <w:keepNext/>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nhideWhenUsed/>
    <w:qFormat/>
    <w:rsid w:val="005F30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01F"/>
    <w:pPr>
      <w:ind w:left="720"/>
      <w:contextualSpacing/>
    </w:pPr>
  </w:style>
  <w:style w:type="paragraph" w:styleId="NormalWeb">
    <w:name w:val="Normal (Web)"/>
    <w:aliases w:val=" webb,webb"/>
    <w:basedOn w:val="Normal"/>
    <w:uiPriority w:val="99"/>
    <w:unhideWhenUsed/>
    <w:rsid w:val="008B6302"/>
    <w:pPr>
      <w:spacing w:before="100" w:beforeAutospacing="1" w:after="100" w:afterAutospacing="1"/>
    </w:pPr>
    <w:rPr>
      <w:rFonts w:ascii="Times New Roman" w:eastAsia="Times New Roman" w:hAnsi="Times New Roman" w:cs="Times New Roman"/>
      <w:lang w:eastAsia="en-GB"/>
    </w:rPr>
  </w:style>
  <w:style w:type="paragraph" w:customStyle="1" w:styleId="p1">
    <w:name w:val="p1"/>
    <w:basedOn w:val="Normal"/>
    <w:rsid w:val="008915F2"/>
    <w:rPr>
      <w:rFonts w:ascii="Helvetica" w:hAnsi="Helvetica" w:cs="Times New Roman"/>
      <w:color w:val="393939"/>
      <w:sz w:val="17"/>
      <w:szCs w:val="17"/>
      <w:lang w:val="en-US" w:eastAsia="zh-CN"/>
    </w:rPr>
  </w:style>
  <w:style w:type="paragraph" w:styleId="BalloonText">
    <w:name w:val="Balloon Text"/>
    <w:basedOn w:val="Normal"/>
    <w:link w:val="BalloonTextChar"/>
    <w:semiHidden/>
    <w:unhideWhenUsed/>
    <w:rsid w:val="00BE6D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6D78"/>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0340FD"/>
    <w:rPr>
      <w:sz w:val="20"/>
      <w:szCs w:val="20"/>
    </w:rPr>
  </w:style>
  <w:style w:type="character" w:customStyle="1" w:styleId="EndnoteTextChar">
    <w:name w:val="Endnote Text Char"/>
    <w:basedOn w:val="DefaultParagraphFont"/>
    <w:link w:val="EndnoteText"/>
    <w:uiPriority w:val="99"/>
    <w:semiHidden/>
    <w:rsid w:val="000340FD"/>
    <w:rPr>
      <w:sz w:val="20"/>
      <w:szCs w:val="20"/>
    </w:rPr>
  </w:style>
  <w:style w:type="character" w:styleId="EndnoteReference">
    <w:name w:val="endnote reference"/>
    <w:basedOn w:val="DefaultParagraphFont"/>
    <w:uiPriority w:val="99"/>
    <w:semiHidden/>
    <w:unhideWhenUsed/>
    <w:rsid w:val="000340FD"/>
    <w:rPr>
      <w:vertAlign w:val="superscript"/>
    </w:rPr>
  </w:style>
  <w:style w:type="character" w:styleId="Hyperlink">
    <w:name w:val="Hyperlink"/>
    <w:basedOn w:val="DefaultParagraphFont"/>
    <w:uiPriority w:val="99"/>
    <w:unhideWhenUsed/>
    <w:rsid w:val="000340FD"/>
    <w:rPr>
      <w:color w:val="0563C1" w:themeColor="hyperlink"/>
      <w:u w:val="single"/>
    </w:rPr>
  </w:style>
  <w:style w:type="character" w:styleId="UnresolvedMention">
    <w:name w:val="Unresolved Mention"/>
    <w:basedOn w:val="DefaultParagraphFont"/>
    <w:uiPriority w:val="99"/>
    <w:rsid w:val="000340FD"/>
    <w:rPr>
      <w:color w:val="605E5C"/>
      <w:shd w:val="clear" w:color="auto" w:fill="E1DFDD"/>
    </w:rPr>
  </w:style>
  <w:style w:type="character" w:styleId="CommentReference">
    <w:name w:val="annotation reference"/>
    <w:basedOn w:val="DefaultParagraphFont"/>
    <w:uiPriority w:val="99"/>
    <w:unhideWhenUsed/>
    <w:rsid w:val="00BE2EAB"/>
    <w:rPr>
      <w:sz w:val="16"/>
      <w:szCs w:val="16"/>
    </w:rPr>
  </w:style>
  <w:style w:type="paragraph" w:styleId="CommentText">
    <w:name w:val="annotation text"/>
    <w:basedOn w:val="Normal"/>
    <w:link w:val="CommentTextChar"/>
    <w:uiPriority w:val="99"/>
    <w:unhideWhenUsed/>
    <w:rsid w:val="00BE2EAB"/>
    <w:rPr>
      <w:sz w:val="20"/>
      <w:szCs w:val="20"/>
    </w:rPr>
  </w:style>
  <w:style w:type="character" w:customStyle="1" w:styleId="CommentTextChar">
    <w:name w:val="Comment Text Char"/>
    <w:basedOn w:val="DefaultParagraphFont"/>
    <w:link w:val="CommentText"/>
    <w:uiPriority w:val="99"/>
    <w:rsid w:val="00BE2EAB"/>
    <w:rPr>
      <w:sz w:val="20"/>
      <w:szCs w:val="20"/>
    </w:rPr>
  </w:style>
  <w:style w:type="paragraph" w:styleId="CommentSubject">
    <w:name w:val="annotation subject"/>
    <w:basedOn w:val="CommentText"/>
    <w:next w:val="CommentText"/>
    <w:link w:val="CommentSubjectChar"/>
    <w:unhideWhenUsed/>
    <w:rsid w:val="00BE2EAB"/>
    <w:rPr>
      <w:b/>
      <w:bCs/>
    </w:rPr>
  </w:style>
  <w:style w:type="character" w:customStyle="1" w:styleId="CommentSubjectChar">
    <w:name w:val="Comment Subject Char"/>
    <w:basedOn w:val="CommentTextChar"/>
    <w:link w:val="CommentSubject"/>
    <w:rsid w:val="00BE2EAB"/>
    <w:rPr>
      <w:b/>
      <w:bCs/>
      <w:sz w:val="20"/>
      <w:szCs w:val="20"/>
    </w:rPr>
  </w:style>
  <w:style w:type="paragraph" w:styleId="Quote">
    <w:name w:val="Quote"/>
    <w:basedOn w:val="Normal"/>
    <w:next w:val="Normal"/>
    <w:link w:val="QuoteChar"/>
    <w:uiPriority w:val="29"/>
    <w:qFormat/>
    <w:rsid w:val="00F605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057A"/>
    <w:rPr>
      <w:i/>
      <w:iCs/>
      <w:color w:val="404040" w:themeColor="text1" w:themeTint="BF"/>
    </w:rPr>
  </w:style>
  <w:style w:type="paragraph" w:customStyle="1" w:styleId="Quote1">
    <w:name w:val="Quote1"/>
    <w:basedOn w:val="Quote"/>
    <w:qFormat/>
    <w:rsid w:val="00761B36"/>
    <w:pPr>
      <w:ind w:left="720"/>
      <w:jc w:val="left"/>
    </w:pPr>
    <w:rPr>
      <w:i w:val="0"/>
    </w:rPr>
  </w:style>
  <w:style w:type="paragraph" w:customStyle="1" w:styleId="citation">
    <w:name w:val="citation"/>
    <w:basedOn w:val="Normal"/>
    <w:rsid w:val="00AB49B5"/>
    <w:pPr>
      <w:spacing w:before="100" w:beforeAutospacing="1" w:after="100" w:afterAutospacing="1"/>
    </w:pPr>
    <w:rPr>
      <w:rFonts w:ascii="Times New Roman" w:eastAsia="Times New Roman" w:hAnsi="Times New Roman" w:cs="Times New Roman"/>
      <w:lang w:eastAsia="en-GB"/>
    </w:rPr>
  </w:style>
  <w:style w:type="character" w:customStyle="1" w:styleId="personname">
    <w:name w:val="person_name"/>
    <w:basedOn w:val="DefaultParagraphFont"/>
    <w:rsid w:val="00AB49B5"/>
  </w:style>
  <w:style w:type="character" w:styleId="Emphasis">
    <w:name w:val="Emphasis"/>
    <w:basedOn w:val="DefaultParagraphFont"/>
    <w:qFormat/>
    <w:rsid w:val="00AB49B5"/>
    <w:rPr>
      <w:i/>
      <w:iCs/>
    </w:rPr>
  </w:style>
  <w:style w:type="character" w:customStyle="1" w:styleId="Heading1Char">
    <w:name w:val="Heading 1 Char"/>
    <w:basedOn w:val="DefaultParagraphFont"/>
    <w:link w:val="Heading1"/>
    <w:uiPriority w:val="9"/>
    <w:rsid w:val="0001277B"/>
    <w:rPr>
      <w:rFonts w:eastAsia="Times New Roman" w:cs="Times New Roman"/>
      <w:b/>
      <w:bCs/>
      <w:kern w:val="36"/>
      <w:szCs w:val="48"/>
      <w:lang w:eastAsia="en-GB"/>
    </w:rPr>
  </w:style>
  <w:style w:type="paragraph" w:customStyle="1" w:styleId="EndNoteBibliography">
    <w:name w:val="EndNote Bibliography"/>
    <w:basedOn w:val="Normal"/>
    <w:link w:val="EndNoteBibliographyChar"/>
    <w:rsid w:val="00F97399"/>
    <w:pPr>
      <w:spacing w:after="160"/>
    </w:pPr>
    <w:rPr>
      <w:rFonts w:ascii="Calibri" w:hAnsi="Calibri" w:cs="Calibri"/>
      <w:noProof/>
      <w:szCs w:val="22"/>
      <w:lang w:val="en-US"/>
    </w:rPr>
  </w:style>
  <w:style w:type="character" w:customStyle="1" w:styleId="EndNoteBibliographyChar">
    <w:name w:val="EndNote Bibliography Char"/>
    <w:basedOn w:val="DefaultParagraphFont"/>
    <w:link w:val="EndNoteBibliography"/>
    <w:rsid w:val="00F97399"/>
    <w:rPr>
      <w:rFonts w:ascii="Calibri" w:hAnsi="Calibri" w:cs="Calibri"/>
      <w:noProof/>
      <w:sz w:val="22"/>
      <w:szCs w:val="22"/>
      <w:lang w:val="en-US"/>
    </w:rPr>
  </w:style>
  <w:style w:type="paragraph" w:styleId="Header">
    <w:name w:val="header"/>
    <w:basedOn w:val="Normal"/>
    <w:link w:val="HeaderChar"/>
    <w:uiPriority w:val="99"/>
    <w:semiHidden/>
    <w:unhideWhenUsed/>
    <w:rsid w:val="00F85E9F"/>
    <w:pPr>
      <w:tabs>
        <w:tab w:val="center" w:pos="4513"/>
        <w:tab w:val="right" w:pos="9026"/>
      </w:tabs>
    </w:pPr>
  </w:style>
  <w:style w:type="character" w:customStyle="1" w:styleId="HeaderChar">
    <w:name w:val="Header Char"/>
    <w:basedOn w:val="DefaultParagraphFont"/>
    <w:link w:val="Header"/>
    <w:uiPriority w:val="99"/>
    <w:semiHidden/>
    <w:rsid w:val="00F85E9F"/>
  </w:style>
  <w:style w:type="paragraph" w:styleId="Footer">
    <w:name w:val="footer"/>
    <w:basedOn w:val="Normal"/>
    <w:link w:val="FooterChar"/>
    <w:unhideWhenUsed/>
    <w:rsid w:val="00F85E9F"/>
    <w:pPr>
      <w:tabs>
        <w:tab w:val="center" w:pos="4513"/>
        <w:tab w:val="right" w:pos="9026"/>
      </w:tabs>
    </w:pPr>
  </w:style>
  <w:style w:type="character" w:customStyle="1" w:styleId="FooterChar">
    <w:name w:val="Footer Char"/>
    <w:basedOn w:val="DefaultParagraphFont"/>
    <w:link w:val="Footer"/>
    <w:uiPriority w:val="99"/>
    <w:semiHidden/>
    <w:rsid w:val="00F85E9F"/>
  </w:style>
  <w:style w:type="character" w:customStyle="1" w:styleId="Heading2Char">
    <w:name w:val="Heading 2 Char"/>
    <w:basedOn w:val="DefaultParagraphFont"/>
    <w:link w:val="Heading2"/>
    <w:uiPriority w:val="9"/>
    <w:rsid w:val="003E0F08"/>
    <w:rPr>
      <w:rFonts w:eastAsiaTheme="majorEastAsia" w:cstheme="majorBidi"/>
      <w:b/>
      <w:sz w:val="22"/>
      <w:szCs w:val="26"/>
    </w:rPr>
  </w:style>
  <w:style w:type="paragraph" w:styleId="FootnoteText">
    <w:name w:val="footnote text"/>
    <w:basedOn w:val="Normal"/>
    <w:link w:val="FootnoteTextChar"/>
    <w:semiHidden/>
    <w:unhideWhenUsed/>
    <w:rsid w:val="00A25D41"/>
    <w:rPr>
      <w:sz w:val="20"/>
      <w:szCs w:val="20"/>
    </w:rPr>
  </w:style>
  <w:style w:type="character" w:customStyle="1" w:styleId="FootnoteTextChar">
    <w:name w:val="Footnote Text Char"/>
    <w:basedOn w:val="DefaultParagraphFont"/>
    <w:link w:val="FootnoteText"/>
    <w:uiPriority w:val="99"/>
    <w:semiHidden/>
    <w:rsid w:val="00A25D41"/>
    <w:rPr>
      <w:sz w:val="20"/>
      <w:szCs w:val="20"/>
    </w:rPr>
  </w:style>
  <w:style w:type="character" w:styleId="FootnoteReference">
    <w:name w:val="footnote reference"/>
    <w:basedOn w:val="DefaultParagraphFont"/>
    <w:semiHidden/>
    <w:unhideWhenUsed/>
    <w:rsid w:val="00A25D41"/>
    <w:rPr>
      <w:vertAlign w:val="superscript"/>
    </w:rPr>
  </w:style>
  <w:style w:type="character" w:customStyle="1" w:styleId="Heading4Char">
    <w:name w:val="Heading 4 Char"/>
    <w:basedOn w:val="DefaultParagraphFont"/>
    <w:link w:val="Heading4"/>
    <w:uiPriority w:val="9"/>
    <w:semiHidden/>
    <w:rsid w:val="005F3066"/>
    <w:rPr>
      <w:rFonts w:asciiTheme="majorHAnsi" w:eastAsiaTheme="majorEastAsia" w:hAnsiTheme="majorHAnsi" w:cstheme="majorBidi"/>
      <w:i/>
      <w:iCs/>
      <w:color w:val="2F5496" w:themeColor="accent1" w:themeShade="BF"/>
      <w:sz w:val="22"/>
    </w:rPr>
  </w:style>
  <w:style w:type="character" w:customStyle="1" w:styleId="contribdegrees">
    <w:name w:val="contribdegrees"/>
    <w:basedOn w:val="DefaultParagraphFont"/>
    <w:rsid w:val="005F3066"/>
  </w:style>
  <w:style w:type="character" w:customStyle="1" w:styleId="publicationcontentepubdate">
    <w:name w:val="publicationcontentepubdate"/>
    <w:basedOn w:val="DefaultParagraphFont"/>
    <w:rsid w:val="005F3066"/>
  </w:style>
  <w:style w:type="character" w:customStyle="1" w:styleId="articletype">
    <w:name w:val="articletype"/>
    <w:basedOn w:val="DefaultParagraphFont"/>
    <w:rsid w:val="005F3066"/>
  </w:style>
  <w:style w:type="character" w:customStyle="1" w:styleId="section">
    <w:name w:val="section"/>
    <w:basedOn w:val="DefaultParagraphFont"/>
    <w:rsid w:val="005F3066"/>
  </w:style>
  <w:style w:type="character" w:customStyle="1" w:styleId="altmetric-embed">
    <w:name w:val="altmetric-embed"/>
    <w:basedOn w:val="DefaultParagraphFont"/>
    <w:rsid w:val="00982C9A"/>
  </w:style>
  <w:style w:type="character" w:styleId="HTMLCite">
    <w:name w:val="HTML Cite"/>
    <w:basedOn w:val="DefaultParagraphFont"/>
    <w:unhideWhenUsed/>
    <w:rsid w:val="00C64E82"/>
    <w:rPr>
      <w:i/>
      <w:iCs/>
    </w:rPr>
  </w:style>
  <w:style w:type="character" w:customStyle="1" w:styleId="Subtitle1">
    <w:name w:val="Subtitle1"/>
    <w:basedOn w:val="DefaultParagraphFont"/>
    <w:rsid w:val="002747AC"/>
  </w:style>
  <w:style w:type="paragraph" w:styleId="PlainText">
    <w:name w:val="Plain Text"/>
    <w:basedOn w:val="Normal"/>
    <w:link w:val="PlainTextChar"/>
    <w:rsid w:val="00E17248"/>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E17248"/>
    <w:rPr>
      <w:rFonts w:ascii="Courier New" w:eastAsia="Times New Roman" w:hAnsi="Courier New" w:cs="Times New Roman"/>
      <w:sz w:val="20"/>
      <w:szCs w:val="20"/>
      <w:lang w:val="en-AU"/>
    </w:rPr>
  </w:style>
  <w:style w:type="paragraph" w:customStyle="1" w:styleId="gem-c-lead-paragraph">
    <w:name w:val="gem-c-lead-paragraph"/>
    <w:basedOn w:val="Normal"/>
    <w:rsid w:val="00062A4B"/>
    <w:pPr>
      <w:spacing w:before="100" w:beforeAutospacing="1" w:after="100" w:afterAutospacing="1"/>
    </w:pPr>
    <w:rPr>
      <w:rFonts w:ascii="Times New Roman" w:eastAsia="Times New Roman" w:hAnsi="Times New Roman" w:cs="Times New Roman"/>
      <w:sz w:val="24"/>
      <w:lang w:eastAsia="en-GB"/>
    </w:rPr>
  </w:style>
  <w:style w:type="character" w:styleId="FollowedHyperlink">
    <w:name w:val="FollowedHyperlink"/>
    <w:basedOn w:val="DefaultParagraphFont"/>
    <w:unhideWhenUsed/>
    <w:rsid w:val="00DD6054"/>
    <w:rPr>
      <w:color w:val="954F72" w:themeColor="followedHyperlink"/>
      <w:u w:val="single"/>
    </w:rPr>
  </w:style>
  <w:style w:type="character" w:customStyle="1" w:styleId="Heading3Char">
    <w:name w:val="Heading 3 Char"/>
    <w:basedOn w:val="DefaultParagraphFont"/>
    <w:link w:val="Heading3"/>
    <w:rsid w:val="005F3433"/>
    <w:rPr>
      <w:rFonts w:ascii="Arial" w:eastAsia="Times New Roman" w:hAnsi="Arial" w:cs="Arial"/>
      <w:b/>
      <w:bCs/>
      <w:sz w:val="26"/>
      <w:szCs w:val="26"/>
      <w:lang w:eastAsia="en-GB"/>
    </w:rPr>
  </w:style>
  <w:style w:type="character" w:styleId="PageNumber">
    <w:name w:val="page number"/>
    <w:basedOn w:val="DefaultParagraphFont"/>
    <w:rsid w:val="005F3433"/>
  </w:style>
  <w:style w:type="character" w:customStyle="1" w:styleId="mw-headline">
    <w:name w:val="mw-headline"/>
    <w:basedOn w:val="DefaultParagraphFont"/>
    <w:rsid w:val="005F3433"/>
  </w:style>
  <w:style w:type="character" w:customStyle="1" w:styleId="mw-editsection">
    <w:name w:val="mw-editsection"/>
    <w:basedOn w:val="DefaultParagraphFont"/>
    <w:rsid w:val="005F3433"/>
  </w:style>
  <w:style w:type="character" w:customStyle="1" w:styleId="mw-editsection-bracket">
    <w:name w:val="mw-editsection-bracket"/>
    <w:basedOn w:val="DefaultParagraphFont"/>
    <w:rsid w:val="005F3433"/>
  </w:style>
  <w:style w:type="character" w:customStyle="1" w:styleId="gslbl">
    <w:name w:val="gs_lbl"/>
    <w:basedOn w:val="DefaultParagraphFont"/>
    <w:rsid w:val="005F3433"/>
  </w:style>
  <w:style w:type="character" w:customStyle="1" w:styleId="gsctg2">
    <w:name w:val="gs_ctg2"/>
    <w:basedOn w:val="DefaultParagraphFont"/>
    <w:rsid w:val="005F3433"/>
  </w:style>
  <w:style w:type="character" w:customStyle="1" w:styleId="product-banner-title">
    <w:name w:val="product-banner-title"/>
    <w:basedOn w:val="DefaultParagraphFont"/>
    <w:rsid w:val="005F3433"/>
  </w:style>
  <w:style w:type="character" w:customStyle="1" w:styleId="product-banner-author">
    <w:name w:val="product-banner-author"/>
    <w:basedOn w:val="DefaultParagraphFont"/>
    <w:rsid w:val="005F3433"/>
  </w:style>
  <w:style w:type="character" w:customStyle="1" w:styleId="product-banner-author-name">
    <w:name w:val="product-banner-author-name"/>
    <w:basedOn w:val="DefaultParagraphFont"/>
    <w:rsid w:val="005F3433"/>
  </w:style>
  <w:style w:type="character" w:customStyle="1" w:styleId="fn">
    <w:name w:val="fn"/>
    <w:basedOn w:val="DefaultParagraphFont"/>
    <w:rsid w:val="005F3433"/>
  </w:style>
  <w:style w:type="character" w:customStyle="1" w:styleId="num-ratings">
    <w:name w:val="num-ratings"/>
    <w:basedOn w:val="DefaultParagraphFont"/>
    <w:rsid w:val="005F3433"/>
  </w:style>
  <w:style w:type="character" w:customStyle="1" w:styleId="count">
    <w:name w:val="count"/>
    <w:basedOn w:val="DefaultParagraphFont"/>
    <w:rsid w:val="005F3433"/>
  </w:style>
  <w:style w:type="character" w:customStyle="1" w:styleId="dash">
    <w:name w:val="dash"/>
    <w:basedOn w:val="DefaultParagraphFont"/>
    <w:rsid w:val="005F3433"/>
  </w:style>
  <w:style w:type="character" w:customStyle="1" w:styleId="ipa">
    <w:name w:val="ipa"/>
    <w:basedOn w:val="DefaultParagraphFont"/>
    <w:rsid w:val="005F3433"/>
  </w:style>
  <w:style w:type="paragraph" w:customStyle="1" w:styleId="author">
    <w:name w:val="author"/>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styleId="Strong">
    <w:name w:val="Strong"/>
    <w:qFormat/>
    <w:rsid w:val="005F3433"/>
    <w:rPr>
      <w:b/>
      <w:bCs/>
    </w:rPr>
  </w:style>
  <w:style w:type="paragraph" w:customStyle="1" w:styleId="small">
    <w:name w:val="small"/>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customStyle="1" w:styleId="a-size-large">
    <w:name w:val="a-size-large"/>
    <w:basedOn w:val="DefaultParagraphFont"/>
    <w:rsid w:val="005F3433"/>
  </w:style>
  <w:style w:type="character" w:customStyle="1" w:styleId="authornotfaded">
    <w:name w:val="author notfaded"/>
    <w:basedOn w:val="DefaultParagraphFont"/>
    <w:rsid w:val="005F3433"/>
  </w:style>
  <w:style w:type="character" w:customStyle="1" w:styleId="a-color-secondary">
    <w:name w:val="a-color-secondary"/>
    <w:basedOn w:val="DefaultParagraphFont"/>
    <w:rsid w:val="005F3433"/>
  </w:style>
  <w:style w:type="character" w:customStyle="1" w:styleId="a-declarative">
    <w:name w:val="a-declarative"/>
    <w:basedOn w:val="DefaultParagraphFont"/>
    <w:rsid w:val="005F3433"/>
  </w:style>
  <w:style w:type="character" w:customStyle="1" w:styleId="authorortitle">
    <w:name w:val="authorortitle"/>
    <w:basedOn w:val="DefaultParagraphFont"/>
    <w:rsid w:val="005F3433"/>
  </w:style>
  <w:style w:type="paragraph" w:customStyle="1" w:styleId="information">
    <w:name w:val="information"/>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customStyle="1" w:styleId="info">
    <w:name w:val="info"/>
    <w:basedOn w:val="DefaultParagraphFont"/>
    <w:rsid w:val="005F3433"/>
  </w:style>
  <w:style w:type="table" w:styleId="TableGrid">
    <w:name w:val="Table Grid"/>
    <w:basedOn w:val="TableNormal"/>
    <w:rsid w:val="005F343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F3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5F3433"/>
    <w:rPr>
      <w:rFonts w:ascii="Courier New" w:eastAsia="Times New Roman" w:hAnsi="Courier New" w:cs="Courier New"/>
      <w:sz w:val="20"/>
      <w:szCs w:val="20"/>
      <w:lang w:eastAsia="en-GB"/>
    </w:rPr>
  </w:style>
  <w:style w:type="character" w:customStyle="1" w:styleId="a-size-mediuma-color-secondarya-text-normal">
    <w:name w:val="a-size-medium a-color-secondary a-text-normal"/>
    <w:basedOn w:val="DefaultParagraphFont"/>
    <w:rsid w:val="005F3433"/>
  </w:style>
  <w:style w:type="character" w:customStyle="1" w:styleId="release-date">
    <w:name w:val="release-date"/>
    <w:basedOn w:val="DefaultParagraphFont"/>
    <w:rsid w:val="005F3433"/>
  </w:style>
  <w:style w:type="paragraph" w:customStyle="1" w:styleId="pubmeta">
    <w:name w:val="pub__meta"/>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customStyle="1" w:styleId="meta-author">
    <w:name w:val="meta-author"/>
    <w:basedOn w:val="DefaultParagraphFont"/>
    <w:rsid w:val="005F3433"/>
  </w:style>
  <w:style w:type="character" w:customStyle="1" w:styleId="meta-publisher">
    <w:name w:val="meta-publisher"/>
    <w:basedOn w:val="DefaultParagraphFont"/>
    <w:rsid w:val="005F3433"/>
  </w:style>
  <w:style w:type="character" w:customStyle="1" w:styleId="labellink-wrapper">
    <w:name w:val="label__link-wrapper"/>
    <w:basedOn w:val="DefaultParagraphFont"/>
    <w:rsid w:val="005F3433"/>
  </w:style>
  <w:style w:type="paragraph" w:styleId="BodyText">
    <w:name w:val="Body Text"/>
    <w:basedOn w:val="Normal"/>
    <w:link w:val="BodyTextChar"/>
    <w:rsid w:val="005F3433"/>
    <w:rPr>
      <w:rFonts w:ascii="Times New Roman" w:eastAsia="Times New Roman" w:hAnsi="Times New Roman" w:cs="Times New Roman"/>
      <w:color w:val="FF0000"/>
      <w:sz w:val="18"/>
    </w:rPr>
  </w:style>
  <w:style w:type="character" w:customStyle="1" w:styleId="BodyTextChar">
    <w:name w:val="Body Text Char"/>
    <w:basedOn w:val="DefaultParagraphFont"/>
    <w:link w:val="BodyText"/>
    <w:rsid w:val="005F3433"/>
    <w:rPr>
      <w:rFonts w:ascii="Times New Roman" w:eastAsia="Times New Roman" w:hAnsi="Times New Roman" w:cs="Times New Roman"/>
      <w:color w:val="FF0000"/>
      <w:sz w:val="18"/>
    </w:rPr>
  </w:style>
  <w:style w:type="paragraph" w:customStyle="1" w:styleId="Default">
    <w:name w:val="Default"/>
    <w:rsid w:val="005F3433"/>
    <w:pPr>
      <w:autoSpaceDE w:val="0"/>
      <w:autoSpaceDN w:val="0"/>
      <w:adjustRightInd w:val="0"/>
    </w:pPr>
    <w:rPr>
      <w:rFonts w:ascii="Times New Roman" w:eastAsia="Times New Roman" w:hAnsi="Times New Roman" w:cs="Times New Roman"/>
      <w:color w:val="000000"/>
      <w:lang w:eastAsia="en-GB"/>
    </w:rPr>
  </w:style>
  <w:style w:type="character" w:customStyle="1" w:styleId="apple-style-span">
    <w:name w:val="apple-style-span"/>
    <w:basedOn w:val="DefaultParagraphFont"/>
    <w:rsid w:val="005F3433"/>
  </w:style>
  <w:style w:type="character" w:customStyle="1" w:styleId="reference-text">
    <w:name w:val="reference-text"/>
    <w:basedOn w:val="DefaultParagraphFont"/>
    <w:rsid w:val="005F3433"/>
  </w:style>
  <w:style w:type="paragraph" w:customStyle="1" w:styleId="text14standard-space-below">
    <w:name w:val="text14 standard-space-below"/>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customStyle="1" w:styleId="visually-hidden">
    <w:name w:val="visually-hidden"/>
    <w:basedOn w:val="DefaultParagraphFont"/>
    <w:rsid w:val="005F3433"/>
  </w:style>
  <w:style w:type="paragraph" w:customStyle="1" w:styleId="byline">
    <w:name w:val="byline"/>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customStyle="1" w:styleId="cs1-format">
    <w:name w:val="cs1-format"/>
    <w:basedOn w:val="DefaultParagraphFont"/>
    <w:rsid w:val="005F3433"/>
  </w:style>
  <w:style w:type="paragraph" w:customStyle="1" w:styleId="moreright-arrowfade-out">
    <w:name w:val="more right-arrow fade-out"/>
    <w:basedOn w:val="Normal"/>
    <w:rsid w:val="005F3433"/>
    <w:pPr>
      <w:spacing w:before="100" w:beforeAutospacing="1" w:after="100" w:afterAutospacing="1"/>
    </w:pPr>
    <w:rPr>
      <w:rFonts w:ascii="Times New Roman" w:eastAsia="Times New Roman" w:hAnsi="Times New Roman" w:cs="Times New Roman"/>
      <w:sz w:val="24"/>
      <w:lang w:eastAsia="en-GB"/>
    </w:rPr>
  </w:style>
  <w:style w:type="paragraph" w:customStyle="1" w:styleId="text13text-gray-lighttiny-space-below">
    <w:name w:val="text13 text-gray-light tiny-space-below"/>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customStyle="1" w:styleId="pl6pr6text-gray-extra-light">
    <w:name w:val="pl6 pr6 text-gray-extra-light"/>
    <w:basedOn w:val="DefaultParagraphFont"/>
    <w:rsid w:val="005F3433"/>
  </w:style>
  <w:style w:type="paragraph" w:customStyle="1" w:styleId="type-heading">
    <w:name w:val="type-heading"/>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customStyle="1" w:styleId="journal-title">
    <w:name w:val="journal-title"/>
    <w:basedOn w:val="DefaultParagraphFont"/>
    <w:rsid w:val="005F3433"/>
  </w:style>
  <w:style w:type="character" w:customStyle="1" w:styleId="divider">
    <w:name w:val="divider"/>
    <w:basedOn w:val="DefaultParagraphFont"/>
    <w:rsid w:val="005F3433"/>
  </w:style>
  <w:style w:type="character" w:customStyle="1" w:styleId="type">
    <w:name w:val="type"/>
    <w:basedOn w:val="DefaultParagraphFont"/>
    <w:rsid w:val="005F3433"/>
  </w:style>
  <w:style w:type="character" w:customStyle="1" w:styleId="vcard">
    <w:name w:val="vcard"/>
    <w:basedOn w:val="DefaultParagraphFont"/>
    <w:rsid w:val="005F3433"/>
  </w:style>
  <w:style w:type="character" w:customStyle="1" w:styleId="corrected-online">
    <w:name w:val="corrected-online"/>
    <w:basedOn w:val="DefaultParagraphFont"/>
    <w:rsid w:val="005F3433"/>
  </w:style>
  <w:style w:type="character" w:customStyle="1" w:styleId="time">
    <w:name w:val="time"/>
    <w:basedOn w:val="DefaultParagraphFont"/>
    <w:rsid w:val="005F3433"/>
  </w:style>
  <w:style w:type="character" w:customStyle="1" w:styleId="inline-garnett-quoteinline-icon">
    <w:name w:val="inline-garnett-quote inline-icon"/>
    <w:basedOn w:val="DefaultParagraphFont"/>
    <w:rsid w:val="005F3433"/>
  </w:style>
  <w:style w:type="paragraph" w:customStyle="1" w:styleId="volume-issue">
    <w:name w:val="volume-issue"/>
    <w:basedOn w:val="Normal"/>
    <w:rsid w:val="005F3433"/>
    <w:pPr>
      <w:spacing w:before="100" w:beforeAutospacing="1" w:after="100" w:afterAutospacing="1"/>
    </w:pPr>
    <w:rPr>
      <w:rFonts w:ascii="Times New Roman" w:eastAsia="Times New Roman" w:hAnsi="Times New Roman" w:cs="Times New Roman"/>
      <w:sz w:val="24"/>
      <w:lang w:eastAsia="en-GB"/>
    </w:rPr>
  </w:style>
  <w:style w:type="character" w:customStyle="1" w:styleId="val">
    <w:name w:val="val"/>
    <w:basedOn w:val="DefaultParagraphFont"/>
    <w:rsid w:val="005F3433"/>
  </w:style>
  <w:style w:type="paragraph" w:customStyle="1" w:styleId="page-range">
    <w:name w:val="page-range"/>
    <w:basedOn w:val="Normal"/>
    <w:rsid w:val="005F3433"/>
    <w:pPr>
      <w:spacing w:before="100" w:beforeAutospacing="1" w:after="100" w:afterAutospacing="1"/>
    </w:pPr>
    <w:rPr>
      <w:rFonts w:ascii="Times New Roman" w:eastAsia="Times New Roman" w:hAnsi="Times New Roman" w:cs="Times New Roman"/>
      <w:sz w:val="24"/>
      <w:lang w:eastAsia="en-GB"/>
    </w:rPr>
  </w:style>
  <w:style w:type="paragraph" w:styleId="BodyTextIndent">
    <w:name w:val="Body Text Indent"/>
    <w:basedOn w:val="Normal"/>
    <w:link w:val="BodyTextIndentChar"/>
    <w:rsid w:val="005F3433"/>
    <w:pPr>
      <w:spacing w:after="120"/>
      <w:ind w:left="360"/>
    </w:pPr>
    <w:rPr>
      <w:rFonts w:ascii="Times New Roman" w:eastAsia="Times New Roman" w:hAnsi="Times New Roman" w:cs="Times New Roman"/>
      <w:sz w:val="24"/>
      <w:lang w:eastAsia="en-GB"/>
    </w:rPr>
  </w:style>
  <w:style w:type="character" w:customStyle="1" w:styleId="BodyTextIndentChar">
    <w:name w:val="Body Text Indent Char"/>
    <w:basedOn w:val="DefaultParagraphFont"/>
    <w:link w:val="BodyTextIndent"/>
    <w:rsid w:val="005F3433"/>
    <w:rPr>
      <w:rFonts w:ascii="Times New Roman" w:eastAsia="Times New Roman" w:hAnsi="Times New Roman" w:cs="Times New Roman"/>
      <w:lang w:eastAsia="en-GB"/>
    </w:rPr>
  </w:style>
  <w:style w:type="character" w:customStyle="1" w:styleId="apple-converted-space">
    <w:name w:val="apple-converted-space"/>
    <w:basedOn w:val="DefaultParagraphFont"/>
    <w:rsid w:val="005F3433"/>
  </w:style>
  <w:style w:type="character" w:customStyle="1" w:styleId="gscahgscahcgsibl">
    <w:name w:val="gsc_a_h gsc_a_hc gs_ibl"/>
    <w:basedOn w:val="DefaultParagraphFont"/>
    <w:rsid w:val="005F3433"/>
  </w:style>
  <w:style w:type="character" w:customStyle="1" w:styleId="nlmarticle-titlehlfld-title">
    <w:name w:val="nlm_article-title hlfld-title"/>
    <w:basedOn w:val="DefaultParagraphFont"/>
    <w:rsid w:val="005F3433"/>
  </w:style>
  <w:style w:type="character" w:customStyle="1" w:styleId="caps">
    <w:name w:val="caps"/>
    <w:basedOn w:val="DefaultParagraphFont"/>
    <w:rsid w:val="005F3433"/>
  </w:style>
  <w:style w:type="character" w:customStyle="1" w:styleId="UnresolvedMention1">
    <w:name w:val="Unresolved Mention1"/>
    <w:basedOn w:val="DefaultParagraphFont"/>
    <w:uiPriority w:val="99"/>
    <w:semiHidden/>
    <w:unhideWhenUsed/>
    <w:rsid w:val="005F3433"/>
    <w:rPr>
      <w:color w:val="605E5C"/>
      <w:shd w:val="clear" w:color="auto" w:fill="E1DFDD"/>
    </w:rPr>
  </w:style>
  <w:style w:type="character" w:customStyle="1" w:styleId="addmd">
    <w:name w:val="addmd"/>
    <w:basedOn w:val="DefaultParagraphFont"/>
    <w:rsid w:val="005F3433"/>
  </w:style>
  <w:style w:type="paragraph" w:styleId="Revision">
    <w:name w:val="Revision"/>
    <w:hidden/>
    <w:uiPriority w:val="99"/>
    <w:semiHidden/>
    <w:rsid w:val="005F3433"/>
    <w:rPr>
      <w:rFonts w:ascii="Times New Roman" w:eastAsia="Times New Roman" w:hAnsi="Times New Roman" w:cs="Times New Roman"/>
      <w:lang w:eastAsia="en-GB"/>
    </w:rPr>
  </w:style>
  <w:style w:type="character" w:customStyle="1" w:styleId="l6">
    <w:name w:val="l6"/>
    <w:basedOn w:val="DefaultParagraphFont"/>
    <w:rsid w:val="00216750"/>
  </w:style>
  <w:style w:type="character" w:customStyle="1" w:styleId="l7">
    <w:name w:val="l7"/>
    <w:basedOn w:val="DefaultParagraphFont"/>
    <w:rsid w:val="00216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130">
      <w:bodyDiv w:val="1"/>
      <w:marLeft w:val="0"/>
      <w:marRight w:val="0"/>
      <w:marTop w:val="0"/>
      <w:marBottom w:val="0"/>
      <w:divBdr>
        <w:top w:val="none" w:sz="0" w:space="0" w:color="auto"/>
        <w:left w:val="none" w:sz="0" w:space="0" w:color="auto"/>
        <w:bottom w:val="none" w:sz="0" w:space="0" w:color="auto"/>
        <w:right w:val="none" w:sz="0" w:space="0" w:color="auto"/>
      </w:divBdr>
    </w:div>
    <w:div w:id="52238774">
      <w:bodyDiv w:val="1"/>
      <w:marLeft w:val="0"/>
      <w:marRight w:val="0"/>
      <w:marTop w:val="0"/>
      <w:marBottom w:val="0"/>
      <w:divBdr>
        <w:top w:val="none" w:sz="0" w:space="0" w:color="auto"/>
        <w:left w:val="none" w:sz="0" w:space="0" w:color="auto"/>
        <w:bottom w:val="none" w:sz="0" w:space="0" w:color="auto"/>
        <w:right w:val="none" w:sz="0" w:space="0" w:color="auto"/>
      </w:divBdr>
    </w:div>
    <w:div w:id="58597290">
      <w:bodyDiv w:val="1"/>
      <w:marLeft w:val="0"/>
      <w:marRight w:val="0"/>
      <w:marTop w:val="0"/>
      <w:marBottom w:val="0"/>
      <w:divBdr>
        <w:top w:val="none" w:sz="0" w:space="0" w:color="auto"/>
        <w:left w:val="none" w:sz="0" w:space="0" w:color="auto"/>
        <w:bottom w:val="none" w:sz="0" w:space="0" w:color="auto"/>
        <w:right w:val="none" w:sz="0" w:space="0" w:color="auto"/>
      </w:divBdr>
      <w:divsChild>
        <w:div w:id="1068261216">
          <w:marLeft w:val="0"/>
          <w:marRight w:val="0"/>
          <w:marTop w:val="0"/>
          <w:marBottom w:val="0"/>
          <w:divBdr>
            <w:top w:val="none" w:sz="0" w:space="0" w:color="auto"/>
            <w:left w:val="none" w:sz="0" w:space="0" w:color="auto"/>
            <w:bottom w:val="none" w:sz="0" w:space="0" w:color="auto"/>
            <w:right w:val="none" w:sz="0" w:space="0" w:color="auto"/>
          </w:divBdr>
          <w:divsChild>
            <w:div w:id="856582643">
              <w:marLeft w:val="0"/>
              <w:marRight w:val="0"/>
              <w:marTop w:val="0"/>
              <w:marBottom w:val="0"/>
              <w:divBdr>
                <w:top w:val="none" w:sz="0" w:space="0" w:color="auto"/>
                <w:left w:val="none" w:sz="0" w:space="0" w:color="auto"/>
                <w:bottom w:val="none" w:sz="0" w:space="0" w:color="auto"/>
                <w:right w:val="none" w:sz="0" w:space="0" w:color="auto"/>
              </w:divBdr>
              <w:divsChild>
                <w:div w:id="1580945715">
                  <w:marLeft w:val="0"/>
                  <w:marRight w:val="0"/>
                  <w:marTop w:val="0"/>
                  <w:marBottom w:val="0"/>
                  <w:divBdr>
                    <w:top w:val="none" w:sz="0" w:space="0" w:color="auto"/>
                    <w:left w:val="none" w:sz="0" w:space="0" w:color="auto"/>
                    <w:bottom w:val="none" w:sz="0" w:space="0" w:color="auto"/>
                    <w:right w:val="none" w:sz="0" w:space="0" w:color="auto"/>
                  </w:divBdr>
                  <w:divsChild>
                    <w:div w:id="18013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6134">
      <w:bodyDiv w:val="1"/>
      <w:marLeft w:val="0"/>
      <w:marRight w:val="0"/>
      <w:marTop w:val="0"/>
      <w:marBottom w:val="0"/>
      <w:divBdr>
        <w:top w:val="none" w:sz="0" w:space="0" w:color="auto"/>
        <w:left w:val="none" w:sz="0" w:space="0" w:color="auto"/>
        <w:bottom w:val="none" w:sz="0" w:space="0" w:color="auto"/>
        <w:right w:val="none" w:sz="0" w:space="0" w:color="auto"/>
      </w:divBdr>
      <w:divsChild>
        <w:div w:id="555823298">
          <w:marLeft w:val="0"/>
          <w:marRight w:val="0"/>
          <w:marTop w:val="0"/>
          <w:marBottom w:val="0"/>
          <w:divBdr>
            <w:top w:val="none" w:sz="0" w:space="0" w:color="auto"/>
            <w:left w:val="none" w:sz="0" w:space="0" w:color="auto"/>
            <w:bottom w:val="none" w:sz="0" w:space="0" w:color="auto"/>
            <w:right w:val="none" w:sz="0" w:space="0" w:color="auto"/>
          </w:divBdr>
          <w:divsChild>
            <w:div w:id="805395033">
              <w:marLeft w:val="0"/>
              <w:marRight w:val="0"/>
              <w:marTop w:val="0"/>
              <w:marBottom w:val="0"/>
              <w:divBdr>
                <w:top w:val="none" w:sz="0" w:space="0" w:color="auto"/>
                <w:left w:val="none" w:sz="0" w:space="0" w:color="auto"/>
                <w:bottom w:val="none" w:sz="0" w:space="0" w:color="auto"/>
                <w:right w:val="none" w:sz="0" w:space="0" w:color="auto"/>
              </w:divBdr>
              <w:divsChild>
                <w:div w:id="14641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711">
      <w:bodyDiv w:val="1"/>
      <w:marLeft w:val="0"/>
      <w:marRight w:val="0"/>
      <w:marTop w:val="0"/>
      <w:marBottom w:val="0"/>
      <w:divBdr>
        <w:top w:val="none" w:sz="0" w:space="0" w:color="auto"/>
        <w:left w:val="none" w:sz="0" w:space="0" w:color="auto"/>
        <w:bottom w:val="none" w:sz="0" w:space="0" w:color="auto"/>
        <w:right w:val="none" w:sz="0" w:space="0" w:color="auto"/>
      </w:divBdr>
      <w:divsChild>
        <w:div w:id="235557954">
          <w:marLeft w:val="0"/>
          <w:marRight w:val="0"/>
          <w:marTop w:val="0"/>
          <w:marBottom w:val="0"/>
          <w:divBdr>
            <w:top w:val="none" w:sz="0" w:space="0" w:color="auto"/>
            <w:left w:val="none" w:sz="0" w:space="0" w:color="auto"/>
            <w:bottom w:val="none" w:sz="0" w:space="0" w:color="auto"/>
            <w:right w:val="none" w:sz="0" w:space="0" w:color="auto"/>
          </w:divBdr>
          <w:divsChild>
            <w:div w:id="1689141830">
              <w:marLeft w:val="0"/>
              <w:marRight w:val="0"/>
              <w:marTop w:val="0"/>
              <w:marBottom w:val="0"/>
              <w:divBdr>
                <w:top w:val="none" w:sz="0" w:space="0" w:color="auto"/>
                <w:left w:val="none" w:sz="0" w:space="0" w:color="auto"/>
                <w:bottom w:val="none" w:sz="0" w:space="0" w:color="auto"/>
                <w:right w:val="none" w:sz="0" w:space="0" w:color="auto"/>
              </w:divBdr>
              <w:divsChild>
                <w:div w:id="6741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3428">
      <w:bodyDiv w:val="1"/>
      <w:marLeft w:val="0"/>
      <w:marRight w:val="0"/>
      <w:marTop w:val="0"/>
      <w:marBottom w:val="0"/>
      <w:divBdr>
        <w:top w:val="none" w:sz="0" w:space="0" w:color="auto"/>
        <w:left w:val="none" w:sz="0" w:space="0" w:color="auto"/>
        <w:bottom w:val="none" w:sz="0" w:space="0" w:color="auto"/>
        <w:right w:val="none" w:sz="0" w:space="0" w:color="auto"/>
      </w:divBdr>
      <w:divsChild>
        <w:div w:id="1161198517">
          <w:marLeft w:val="0"/>
          <w:marRight w:val="0"/>
          <w:marTop w:val="0"/>
          <w:marBottom w:val="0"/>
          <w:divBdr>
            <w:top w:val="none" w:sz="0" w:space="0" w:color="auto"/>
            <w:left w:val="none" w:sz="0" w:space="0" w:color="auto"/>
            <w:bottom w:val="none" w:sz="0" w:space="0" w:color="auto"/>
            <w:right w:val="none" w:sz="0" w:space="0" w:color="auto"/>
          </w:divBdr>
          <w:divsChild>
            <w:div w:id="162164182">
              <w:marLeft w:val="0"/>
              <w:marRight w:val="0"/>
              <w:marTop w:val="0"/>
              <w:marBottom w:val="0"/>
              <w:divBdr>
                <w:top w:val="none" w:sz="0" w:space="0" w:color="auto"/>
                <w:left w:val="none" w:sz="0" w:space="0" w:color="auto"/>
                <w:bottom w:val="none" w:sz="0" w:space="0" w:color="auto"/>
                <w:right w:val="none" w:sz="0" w:space="0" w:color="auto"/>
              </w:divBdr>
              <w:divsChild>
                <w:div w:id="638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98686">
      <w:bodyDiv w:val="1"/>
      <w:marLeft w:val="0"/>
      <w:marRight w:val="0"/>
      <w:marTop w:val="0"/>
      <w:marBottom w:val="0"/>
      <w:divBdr>
        <w:top w:val="none" w:sz="0" w:space="0" w:color="auto"/>
        <w:left w:val="none" w:sz="0" w:space="0" w:color="auto"/>
        <w:bottom w:val="none" w:sz="0" w:space="0" w:color="auto"/>
        <w:right w:val="none" w:sz="0" w:space="0" w:color="auto"/>
      </w:divBdr>
    </w:div>
    <w:div w:id="416902348">
      <w:bodyDiv w:val="1"/>
      <w:marLeft w:val="0"/>
      <w:marRight w:val="0"/>
      <w:marTop w:val="0"/>
      <w:marBottom w:val="0"/>
      <w:divBdr>
        <w:top w:val="none" w:sz="0" w:space="0" w:color="auto"/>
        <w:left w:val="none" w:sz="0" w:space="0" w:color="auto"/>
        <w:bottom w:val="none" w:sz="0" w:space="0" w:color="auto"/>
        <w:right w:val="none" w:sz="0" w:space="0" w:color="auto"/>
      </w:divBdr>
      <w:divsChild>
        <w:div w:id="1122191452">
          <w:marLeft w:val="0"/>
          <w:marRight w:val="0"/>
          <w:marTop w:val="0"/>
          <w:marBottom w:val="0"/>
          <w:divBdr>
            <w:top w:val="none" w:sz="0" w:space="0" w:color="auto"/>
            <w:left w:val="none" w:sz="0" w:space="0" w:color="auto"/>
            <w:bottom w:val="none" w:sz="0" w:space="0" w:color="auto"/>
            <w:right w:val="none" w:sz="0" w:space="0" w:color="auto"/>
          </w:divBdr>
          <w:divsChild>
            <w:div w:id="1899365935">
              <w:marLeft w:val="0"/>
              <w:marRight w:val="0"/>
              <w:marTop w:val="0"/>
              <w:marBottom w:val="0"/>
              <w:divBdr>
                <w:top w:val="none" w:sz="0" w:space="0" w:color="auto"/>
                <w:left w:val="none" w:sz="0" w:space="0" w:color="auto"/>
                <w:bottom w:val="none" w:sz="0" w:space="0" w:color="auto"/>
                <w:right w:val="none" w:sz="0" w:space="0" w:color="auto"/>
              </w:divBdr>
              <w:divsChild>
                <w:div w:id="8058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1558">
      <w:bodyDiv w:val="1"/>
      <w:marLeft w:val="0"/>
      <w:marRight w:val="0"/>
      <w:marTop w:val="0"/>
      <w:marBottom w:val="0"/>
      <w:divBdr>
        <w:top w:val="none" w:sz="0" w:space="0" w:color="auto"/>
        <w:left w:val="none" w:sz="0" w:space="0" w:color="auto"/>
        <w:bottom w:val="none" w:sz="0" w:space="0" w:color="auto"/>
        <w:right w:val="none" w:sz="0" w:space="0" w:color="auto"/>
      </w:divBdr>
      <w:divsChild>
        <w:div w:id="1874732482">
          <w:marLeft w:val="0"/>
          <w:marRight w:val="0"/>
          <w:marTop w:val="0"/>
          <w:marBottom w:val="0"/>
          <w:divBdr>
            <w:top w:val="none" w:sz="0" w:space="0" w:color="auto"/>
            <w:left w:val="none" w:sz="0" w:space="0" w:color="auto"/>
            <w:bottom w:val="none" w:sz="0" w:space="0" w:color="auto"/>
            <w:right w:val="none" w:sz="0" w:space="0" w:color="auto"/>
          </w:divBdr>
          <w:divsChild>
            <w:div w:id="857475272">
              <w:marLeft w:val="0"/>
              <w:marRight w:val="0"/>
              <w:marTop w:val="0"/>
              <w:marBottom w:val="0"/>
              <w:divBdr>
                <w:top w:val="none" w:sz="0" w:space="0" w:color="auto"/>
                <w:left w:val="none" w:sz="0" w:space="0" w:color="auto"/>
                <w:bottom w:val="none" w:sz="0" w:space="0" w:color="auto"/>
                <w:right w:val="none" w:sz="0" w:space="0" w:color="auto"/>
              </w:divBdr>
              <w:divsChild>
                <w:div w:id="10451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94107">
      <w:bodyDiv w:val="1"/>
      <w:marLeft w:val="0"/>
      <w:marRight w:val="0"/>
      <w:marTop w:val="0"/>
      <w:marBottom w:val="0"/>
      <w:divBdr>
        <w:top w:val="none" w:sz="0" w:space="0" w:color="auto"/>
        <w:left w:val="none" w:sz="0" w:space="0" w:color="auto"/>
        <w:bottom w:val="none" w:sz="0" w:space="0" w:color="auto"/>
        <w:right w:val="none" w:sz="0" w:space="0" w:color="auto"/>
      </w:divBdr>
    </w:div>
    <w:div w:id="506479700">
      <w:bodyDiv w:val="1"/>
      <w:marLeft w:val="0"/>
      <w:marRight w:val="0"/>
      <w:marTop w:val="0"/>
      <w:marBottom w:val="0"/>
      <w:divBdr>
        <w:top w:val="none" w:sz="0" w:space="0" w:color="auto"/>
        <w:left w:val="none" w:sz="0" w:space="0" w:color="auto"/>
        <w:bottom w:val="none" w:sz="0" w:space="0" w:color="auto"/>
        <w:right w:val="none" w:sz="0" w:space="0" w:color="auto"/>
      </w:divBdr>
    </w:div>
    <w:div w:id="515996562">
      <w:bodyDiv w:val="1"/>
      <w:marLeft w:val="0"/>
      <w:marRight w:val="0"/>
      <w:marTop w:val="0"/>
      <w:marBottom w:val="0"/>
      <w:divBdr>
        <w:top w:val="none" w:sz="0" w:space="0" w:color="auto"/>
        <w:left w:val="none" w:sz="0" w:space="0" w:color="auto"/>
        <w:bottom w:val="none" w:sz="0" w:space="0" w:color="auto"/>
        <w:right w:val="none" w:sz="0" w:space="0" w:color="auto"/>
      </w:divBdr>
      <w:divsChild>
        <w:div w:id="133766690">
          <w:marLeft w:val="0"/>
          <w:marRight w:val="0"/>
          <w:marTop w:val="0"/>
          <w:marBottom w:val="0"/>
          <w:divBdr>
            <w:top w:val="none" w:sz="0" w:space="0" w:color="auto"/>
            <w:left w:val="none" w:sz="0" w:space="0" w:color="auto"/>
            <w:bottom w:val="none" w:sz="0" w:space="0" w:color="auto"/>
            <w:right w:val="none" w:sz="0" w:space="0" w:color="auto"/>
          </w:divBdr>
          <w:divsChild>
            <w:div w:id="1291588549">
              <w:marLeft w:val="0"/>
              <w:marRight w:val="0"/>
              <w:marTop w:val="0"/>
              <w:marBottom w:val="0"/>
              <w:divBdr>
                <w:top w:val="none" w:sz="0" w:space="0" w:color="auto"/>
                <w:left w:val="none" w:sz="0" w:space="0" w:color="auto"/>
                <w:bottom w:val="none" w:sz="0" w:space="0" w:color="auto"/>
                <w:right w:val="none" w:sz="0" w:space="0" w:color="auto"/>
              </w:divBdr>
              <w:divsChild>
                <w:div w:id="4169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9103">
      <w:bodyDiv w:val="1"/>
      <w:marLeft w:val="0"/>
      <w:marRight w:val="0"/>
      <w:marTop w:val="0"/>
      <w:marBottom w:val="0"/>
      <w:divBdr>
        <w:top w:val="none" w:sz="0" w:space="0" w:color="auto"/>
        <w:left w:val="none" w:sz="0" w:space="0" w:color="auto"/>
        <w:bottom w:val="none" w:sz="0" w:space="0" w:color="auto"/>
        <w:right w:val="none" w:sz="0" w:space="0" w:color="auto"/>
      </w:divBdr>
    </w:div>
    <w:div w:id="633874504">
      <w:bodyDiv w:val="1"/>
      <w:marLeft w:val="0"/>
      <w:marRight w:val="0"/>
      <w:marTop w:val="0"/>
      <w:marBottom w:val="0"/>
      <w:divBdr>
        <w:top w:val="none" w:sz="0" w:space="0" w:color="auto"/>
        <w:left w:val="none" w:sz="0" w:space="0" w:color="auto"/>
        <w:bottom w:val="none" w:sz="0" w:space="0" w:color="auto"/>
        <w:right w:val="none" w:sz="0" w:space="0" w:color="auto"/>
      </w:divBdr>
    </w:div>
    <w:div w:id="683820558">
      <w:bodyDiv w:val="1"/>
      <w:marLeft w:val="0"/>
      <w:marRight w:val="0"/>
      <w:marTop w:val="0"/>
      <w:marBottom w:val="0"/>
      <w:divBdr>
        <w:top w:val="none" w:sz="0" w:space="0" w:color="auto"/>
        <w:left w:val="none" w:sz="0" w:space="0" w:color="auto"/>
        <w:bottom w:val="none" w:sz="0" w:space="0" w:color="auto"/>
        <w:right w:val="none" w:sz="0" w:space="0" w:color="auto"/>
      </w:divBdr>
    </w:div>
    <w:div w:id="692848503">
      <w:bodyDiv w:val="1"/>
      <w:marLeft w:val="0"/>
      <w:marRight w:val="0"/>
      <w:marTop w:val="0"/>
      <w:marBottom w:val="0"/>
      <w:divBdr>
        <w:top w:val="none" w:sz="0" w:space="0" w:color="auto"/>
        <w:left w:val="none" w:sz="0" w:space="0" w:color="auto"/>
        <w:bottom w:val="none" w:sz="0" w:space="0" w:color="auto"/>
        <w:right w:val="none" w:sz="0" w:space="0" w:color="auto"/>
      </w:divBdr>
    </w:div>
    <w:div w:id="706838232">
      <w:bodyDiv w:val="1"/>
      <w:marLeft w:val="0"/>
      <w:marRight w:val="0"/>
      <w:marTop w:val="0"/>
      <w:marBottom w:val="0"/>
      <w:divBdr>
        <w:top w:val="none" w:sz="0" w:space="0" w:color="auto"/>
        <w:left w:val="none" w:sz="0" w:space="0" w:color="auto"/>
        <w:bottom w:val="none" w:sz="0" w:space="0" w:color="auto"/>
        <w:right w:val="none" w:sz="0" w:space="0" w:color="auto"/>
      </w:divBdr>
    </w:div>
    <w:div w:id="710421853">
      <w:bodyDiv w:val="1"/>
      <w:marLeft w:val="0"/>
      <w:marRight w:val="0"/>
      <w:marTop w:val="0"/>
      <w:marBottom w:val="0"/>
      <w:divBdr>
        <w:top w:val="none" w:sz="0" w:space="0" w:color="auto"/>
        <w:left w:val="none" w:sz="0" w:space="0" w:color="auto"/>
        <w:bottom w:val="none" w:sz="0" w:space="0" w:color="auto"/>
        <w:right w:val="none" w:sz="0" w:space="0" w:color="auto"/>
      </w:divBdr>
      <w:divsChild>
        <w:div w:id="1353604354">
          <w:marLeft w:val="0"/>
          <w:marRight w:val="0"/>
          <w:marTop w:val="75"/>
          <w:marBottom w:val="75"/>
          <w:divBdr>
            <w:top w:val="none" w:sz="0" w:space="0" w:color="auto"/>
            <w:left w:val="none" w:sz="0" w:space="0" w:color="auto"/>
            <w:bottom w:val="none" w:sz="0" w:space="0" w:color="auto"/>
            <w:right w:val="none" w:sz="0" w:space="0" w:color="auto"/>
          </w:divBdr>
          <w:divsChild>
            <w:div w:id="1604655484">
              <w:marLeft w:val="0"/>
              <w:marRight w:val="0"/>
              <w:marTop w:val="0"/>
              <w:marBottom w:val="0"/>
              <w:divBdr>
                <w:top w:val="none" w:sz="0" w:space="0" w:color="auto"/>
                <w:left w:val="none" w:sz="0" w:space="0" w:color="auto"/>
                <w:bottom w:val="none" w:sz="0" w:space="0" w:color="auto"/>
                <w:right w:val="none" w:sz="0" w:space="0" w:color="auto"/>
              </w:divBdr>
              <w:divsChild>
                <w:div w:id="361174730">
                  <w:marLeft w:val="0"/>
                  <w:marRight w:val="0"/>
                  <w:marTop w:val="0"/>
                  <w:marBottom w:val="0"/>
                  <w:divBdr>
                    <w:top w:val="none" w:sz="0" w:space="0" w:color="auto"/>
                    <w:left w:val="none" w:sz="0" w:space="0" w:color="auto"/>
                    <w:bottom w:val="none" w:sz="0" w:space="0" w:color="auto"/>
                    <w:right w:val="none" w:sz="0" w:space="0" w:color="auto"/>
                  </w:divBdr>
                </w:div>
              </w:divsChild>
            </w:div>
            <w:div w:id="61223708">
              <w:marLeft w:val="0"/>
              <w:marRight w:val="0"/>
              <w:marTop w:val="0"/>
              <w:marBottom w:val="0"/>
              <w:divBdr>
                <w:top w:val="none" w:sz="0" w:space="0" w:color="auto"/>
                <w:left w:val="none" w:sz="0" w:space="0" w:color="auto"/>
                <w:bottom w:val="none" w:sz="0" w:space="0" w:color="auto"/>
                <w:right w:val="none" w:sz="0" w:space="0" w:color="auto"/>
              </w:divBdr>
              <w:divsChild>
                <w:div w:id="906841453">
                  <w:marLeft w:val="0"/>
                  <w:marRight w:val="0"/>
                  <w:marTop w:val="0"/>
                  <w:marBottom w:val="0"/>
                  <w:divBdr>
                    <w:top w:val="none" w:sz="0" w:space="0" w:color="auto"/>
                    <w:left w:val="none" w:sz="0" w:space="0" w:color="auto"/>
                    <w:bottom w:val="none" w:sz="0" w:space="0" w:color="auto"/>
                    <w:right w:val="none" w:sz="0" w:space="0" w:color="auto"/>
                  </w:divBdr>
                </w:div>
                <w:div w:id="2018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60352">
      <w:bodyDiv w:val="1"/>
      <w:marLeft w:val="0"/>
      <w:marRight w:val="0"/>
      <w:marTop w:val="0"/>
      <w:marBottom w:val="0"/>
      <w:divBdr>
        <w:top w:val="none" w:sz="0" w:space="0" w:color="auto"/>
        <w:left w:val="none" w:sz="0" w:space="0" w:color="auto"/>
        <w:bottom w:val="none" w:sz="0" w:space="0" w:color="auto"/>
        <w:right w:val="none" w:sz="0" w:space="0" w:color="auto"/>
      </w:divBdr>
    </w:div>
    <w:div w:id="727537411">
      <w:bodyDiv w:val="1"/>
      <w:marLeft w:val="0"/>
      <w:marRight w:val="0"/>
      <w:marTop w:val="0"/>
      <w:marBottom w:val="0"/>
      <w:divBdr>
        <w:top w:val="none" w:sz="0" w:space="0" w:color="auto"/>
        <w:left w:val="none" w:sz="0" w:space="0" w:color="auto"/>
        <w:bottom w:val="none" w:sz="0" w:space="0" w:color="auto"/>
        <w:right w:val="none" w:sz="0" w:space="0" w:color="auto"/>
      </w:divBdr>
      <w:divsChild>
        <w:div w:id="1149053802">
          <w:marLeft w:val="0"/>
          <w:marRight w:val="0"/>
          <w:marTop w:val="0"/>
          <w:marBottom w:val="0"/>
          <w:divBdr>
            <w:top w:val="none" w:sz="0" w:space="0" w:color="auto"/>
            <w:left w:val="none" w:sz="0" w:space="0" w:color="auto"/>
            <w:bottom w:val="none" w:sz="0" w:space="0" w:color="auto"/>
            <w:right w:val="none" w:sz="0" w:space="0" w:color="auto"/>
          </w:divBdr>
          <w:divsChild>
            <w:div w:id="1562063257">
              <w:marLeft w:val="0"/>
              <w:marRight w:val="0"/>
              <w:marTop w:val="0"/>
              <w:marBottom w:val="0"/>
              <w:divBdr>
                <w:top w:val="none" w:sz="0" w:space="0" w:color="auto"/>
                <w:left w:val="none" w:sz="0" w:space="0" w:color="auto"/>
                <w:bottom w:val="none" w:sz="0" w:space="0" w:color="auto"/>
                <w:right w:val="none" w:sz="0" w:space="0" w:color="auto"/>
              </w:divBdr>
            </w:div>
          </w:divsChild>
        </w:div>
        <w:div w:id="1903132381">
          <w:marLeft w:val="0"/>
          <w:marRight w:val="0"/>
          <w:marTop w:val="0"/>
          <w:marBottom w:val="150"/>
          <w:divBdr>
            <w:top w:val="none" w:sz="0" w:space="0" w:color="auto"/>
            <w:left w:val="none" w:sz="0" w:space="0" w:color="auto"/>
            <w:bottom w:val="none" w:sz="0" w:space="0" w:color="auto"/>
            <w:right w:val="none" w:sz="0" w:space="0" w:color="auto"/>
          </w:divBdr>
          <w:divsChild>
            <w:div w:id="1826970540">
              <w:marLeft w:val="0"/>
              <w:marRight w:val="0"/>
              <w:marTop w:val="0"/>
              <w:marBottom w:val="0"/>
              <w:divBdr>
                <w:top w:val="none" w:sz="0" w:space="0" w:color="auto"/>
                <w:left w:val="none" w:sz="0" w:space="0" w:color="auto"/>
                <w:bottom w:val="none" w:sz="0" w:space="0" w:color="auto"/>
                <w:right w:val="none" w:sz="0" w:space="0" w:color="auto"/>
              </w:divBdr>
              <w:divsChild>
                <w:div w:id="256712912">
                  <w:marLeft w:val="0"/>
                  <w:marRight w:val="0"/>
                  <w:marTop w:val="0"/>
                  <w:marBottom w:val="0"/>
                  <w:divBdr>
                    <w:top w:val="none" w:sz="0" w:space="0" w:color="auto"/>
                    <w:left w:val="none" w:sz="0" w:space="0" w:color="auto"/>
                    <w:bottom w:val="none" w:sz="0" w:space="0" w:color="auto"/>
                    <w:right w:val="none" w:sz="0" w:space="0" w:color="auto"/>
                  </w:divBdr>
                  <w:divsChild>
                    <w:div w:id="922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11393">
          <w:marLeft w:val="0"/>
          <w:marRight w:val="0"/>
          <w:marTop w:val="30"/>
          <w:marBottom w:val="105"/>
          <w:divBdr>
            <w:top w:val="none" w:sz="0" w:space="0" w:color="auto"/>
            <w:left w:val="none" w:sz="0" w:space="0" w:color="auto"/>
            <w:bottom w:val="none" w:sz="0" w:space="0" w:color="auto"/>
            <w:right w:val="none" w:sz="0" w:space="0" w:color="auto"/>
          </w:divBdr>
          <w:divsChild>
            <w:div w:id="1648044528">
              <w:marLeft w:val="0"/>
              <w:marRight w:val="0"/>
              <w:marTop w:val="0"/>
              <w:marBottom w:val="0"/>
              <w:divBdr>
                <w:top w:val="none" w:sz="0" w:space="0" w:color="auto"/>
                <w:left w:val="none" w:sz="0" w:space="0" w:color="auto"/>
                <w:bottom w:val="none" w:sz="0" w:space="0" w:color="auto"/>
                <w:right w:val="none" w:sz="0" w:space="0" w:color="auto"/>
              </w:divBdr>
              <w:divsChild>
                <w:div w:id="312375100">
                  <w:marLeft w:val="0"/>
                  <w:marRight w:val="0"/>
                  <w:marTop w:val="0"/>
                  <w:marBottom w:val="0"/>
                  <w:divBdr>
                    <w:top w:val="none" w:sz="0" w:space="0" w:color="auto"/>
                    <w:left w:val="none" w:sz="0" w:space="0" w:color="auto"/>
                    <w:bottom w:val="none" w:sz="0" w:space="0" w:color="auto"/>
                    <w:right w:val="none" w:sz="0" w:space="0" w:color="auto"/>
                  </w:divBdr>
                  <w:divsChild>
                    <w:div w:id="1237857751">
                      <w:marLeft w:val="0"/>
                      <w:marRight w:val="0"/>
                      <w:marTop w:val="0"/>
                      <w:marBottom w:val="0"/>
                      <w:divBdr>
                        <w:top w:val="none" w:sz="0" w:space="0" w:color="auto"/>
                        <w:left w:val="none" w:sz="0" w:space="0" w:color="auto"/>
                        <w:bottom w:val="none" w:sz="0" w:space="0" w:color="auto"/>
                        <w:right w:val="none" w:sz="0" w:space="0" w:color="auto"/>
                      </w:divBdr>
                      <w:divsChild>
                        <w:div w:id="32906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721829431">
              <w:marLeft w:val="0"/>
              <w:marRight w:val="0"/>
              <w:marTop w:val="0"/>
              <w:marBottom w:val="0"/>
              <w:divBdr>
                <w:top w:val="none" w:sz="0" w:space="0" w:color="auto"/>
                <w:left w:val="none" w:sz="0" w:space="0" w:color="auto"/>
                <w:bottom w:val="none" w:sz="0" w:space="0" w:color="auto"/>
                <w:right w:val="none" w:sz="0" w:space="0" w:color="auto"/>
              </w:divBdr>
              <w:divsChild>
                <w:div w:id="1755665532">
                  <w:marLeft w:val="0"/>
                  <w:marRight w:val="0"/>
                  <w:marTop w:val="0"/>
                  <w:marBottom w:val="0"/>
                  <w:divBdr>
                    <w:top w:val="none" w:sz="0" w:space="0" w:color="auto"/>
                    <w:left w:val="none" w:sz="0" w:space="0" w:color="auto"/>
                    <w:bottom w:val="none" w:sz="0" w:space="0" w:color="auto"/>
                    <w:right w:val="none" w:sz="0" w:space="0" w:color="auto"/>
                  </w:divBdr>
                  <w:divsChild>
                    <w:div w:id="191111827">
                      <w:marLeft w:val="0"/>
                      <w:marRight w:val="0"/>
                      <w:marTop w:val="0"/>
                      <w:marBottom w:val="0"/>
                      <w:divBdr>
                        <w:top w:val="none" w:sz="0" w:space="0" w:color="auto"/>
                        <w:left w:val="none" w:sz="0" w:space="0" w:color="auto"/>
                        <w:bottom w:val="none" w:sz="0" w:space="0" w:color="auto"/>
                        <w:right w:val="none" w:sz="0" w:space="0" w:color="auto"/>
                      </w:divBdr>
                      <w:divsChild>
                        <w:div w:id="1164011751">
                          <w:marLeft w:val="0"/>
                          <w:marRight w:val="0"/>
                          <w:marTop w:val="0"/>
                          <w:marBottom w:val="0"/>
                          <w:divBdr>
                            <w:top w:val="none" w:sz="0" w:space="0" w:color="auto"/>
                            <w:left w:val="none" w:sz="0" w:space="0" w:color="auto"/>
                            <w:bottom w:val="none" w:sz="0" w:space="0" w:color="auto"/>
                            <w:right w:val="none" w:sz="0" w:space="0" w:color="auto"/>
                          </w:divBdr>
                          <w:divsChild>
                            <w:div w:id="1234658983">
                              <w:marLeft w:val="0"/>
                              <w:marRight w:val="0"/>
                              <w:marTop w:val="0"/>
                              <w:marBottom w:val="0"/>
                              <w:divBdr>
                                <w:top w:val="none" w:sz="0" w:space="0" w:color="auto"/>
                                <w:left w:val="none" w:sz="0" w:space="0" w:color="auto"/>
                                <w:bottom w:val="none" w:sz="0" w:space="0" w:color="auto"/>
                                <w:right w:val="none" w:sz="0" w:space="0" w:color="auto"/>
                              </w:divBdr>
                              <w:divsChild>
                                <w:div w:id="1863087314">
                                  <w:marLeft w:val="0"/>
                                  <w:marRight w:val="0"/>
                                  <w:marTop w:val="0"/>
                                  <w:marBottom w:val="0"/>
                                  <w:divBdr>
                                    <w:top w:val="none" w:sz="0" w:space="0" w:color="auto"/>
                                    <w:left w:val="none" w:sz="0" w:space="0" w:color="auto"/>
                                    <w:bottom w:val="none" w:sz="0" w:space="0" w:color="auto"/>
                                    <w:right w:val="none" w:sz="0" w:space="0" w:color="auto"/>
                                  </w:divBdr>
                                  <w:divsChild>
                                    <w:div w:id="926378129">
                                      <w:marLeft w:val="0"/>
                                      <w:marRight w:val="0"/>
                                      <w:marTop w:val="0"/>
                                      <w:marBottom w:val="0"/>
                                      <w:divBdr>
                                        <w:top w:val="none" w:sz="0" w:space="0" w:color="auto"/>
                                        <w:left w:val="none" w:sz="0" w:space="0" w:color="auto"/>
                                        <w:bottom w:val="none" w:sz="0" w:space="0" w:color="auto"/>
                                        <w:right w:val="none" w:sz="0" w:space="0" w:color="auto"/>
                                      </w:divBdr>
                                      <w:divsChild>
                                        <w:div w:id="1152793215">
                                          <w:marLeft w:val="0"/>
                                          <w:marRight w:val="0"/>
                                          <w:marTop w:val="0"/>
                                          <w:marBottom w:val="0"/>
                                          <w:divBdr>
                                            <w:top w:val="none" w:sz="0" w:space="0" w:color="auto"/>
                                            <w:left w:val="none" w:sz="0" w:space="0" w:color="auto"/>
                                            <w:bottom w:val="none" w:sz="0" w:space="0" w:color="auto"/>
                                            <w:right w:val="none" w:sz="0" w:space="0" w:color="auto"/>
                                          </w:divBdr>
                                          <w:divsChild>
                                            <w:div w:id="1972593879">
                                              <w:marLeft w:val="0"/>
                                              <w:marRight w:val="0"/>
                                              <w:marTop w:val="0"/>
                                              <w:marBottom w:val="0"/>
                                              <w:divBdr>
                                                <w:top w:val="none" w:sz="0" w:space="0" w:color="auto"/>
                                                <w:left w:val="none" w:sz="0" w:space="0" w:color="auto"/>
                                                <w:bottom w:val="none" w:sz="0" w:space="0" w:color="auto"/>
                                                <w:right w:val="none" w:sz="0" w:space="0" w:color="auto"/>
                                              </w:divBdr>
                                              <w:divsChild>
                                                <w:div w:id="1652363028">
                                                  <w:marLeft w:val="0"/>
                                                  <w:marRight w:val="0"/>
                                                  <w:marTop w:val="0"/>
                                                  <w:marBottom w:val="0"/>
                                                  <w:divBdr>
                                                    <w:top w:val="none" w:sz="0" w:space="0" w:color="auto"/>
                                                    <w:left w:val="none" w:sz="0" w:space="0" w:color="auto"/>
                                                    <w:bottom w:val="none" w:sz="0" w:space="0" w:color="auto"/>
                                                    <w:right w:val="none" w:sz="0" w:space="0" w:color="auto"/>
                                                  </w:divBdr>
                                                  <w:divsChild>
                                                    <w:div w:id="1705902977">
                                                      <w:marLeft w:val="0"/>
                                                      <w:marRight w:val="0"/>
                                                      <w:marTop w:val="0"/>
                                                      <w:marBottom w:val="0"/>
                                                      <w:divBdr>
                                                        <w:top w:val="none" w:sz="0" w:space="0" w:color="auto"/>
                                                        <w:left w:val="none" w:sz="0" w:space="0" w:color="auto"/>
                                                        <w:bottom w:val="none" w:sz="0" w:space="0" w:color="auto"/>
                                                        <w:right w:val="none" w:sz="0" w:space="0" w:color="auto"/>
                                                      </w:divBdr>
                                                      <w:divsChild>
                                                        <w:div w:id="3167244">
                                                          <w:marLeft w:val="0"/>
                                                          <w:marRight w:val="0"/>
                                                          <w:marTop w:val="0"/>
                                                          <w:marBottom w:val="0"/>
                                                          <w:divBdr>
                                                            <w:top w:val="none" w:sz="0" w:space="0" w:color="auto"/>
                                                            <w:left w:val="none" w:sz="0" w:space="0" w:color="auto"/>
                                                            <w:bottom w:val="none" w:sz="0" w:space="0" w:color="auto"/>
                                                            <w:right w:val="none" w:sz="0" w:space="0" w:color="auto"/>
                                                          </w:divBdr>
                                                          <w:divsChild>
                                                            <w:div w:id="16722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6915">
                                                      <w:marLeft w:val="0"/>
                                                      <w:marRight w:val="0"/>
                                                      <w:marTop w:val="75"/>
                                                      <w:marBottom w:val="75"/>
                                                      <w:divBdr>
                                                        <w:top w:val="none" w:sz="0" w:space="0" w:color="auto"/>
                                                        <w:left w:val="none" w:sz="0" w:space="0" w:color="auto"/>
                                                        <w:bottom w:val="none" w:sz="0" w:space="0" w:color="auto"/>
                                                        <w:right w:val="none" w:sz="0" w:space="0" w:color="auto"/>
                                                      </w:divBdr>
                                                      <w:divsChild>
                                                        <w:div w:id="2014140866">
                                                          <w:marLeft w:val="0"/>
                                                          <w:marRight w:val="0"/>
                                                          <w:marTop w:val="0"/>
                                                          <w:marBottom w:val="0"/>
                                                          <w:divBdr>
                                                            <w:top w:val="none" w:sz="0" w:space="0" w:color="auto"/>
                                                            <w:left w:val="none" w:sz="0" w:space="0" w:color="auto"/>
                                                            <w:bottom w:val="none" w:sz="0" w:space="0" w:color="auto"/>
                                                            <w:right w:val="none" w:sz="0" w:space="0" w:color="auto"/>
                                                          </w:divBdr>
                                                          <w:divsChild>
                                                            <w:div w:id="690839365">
                                                              <w:marLeft w:val="0"/>
                                                              <w:marRight w:val="0"/>
                                                              <w:marTop w:val="0"/>
                                                              <w:marBottom w:val="0"/>
                                                              <w:divBdr>
                                                                <w:top w:val="none" w:sz="0" w:space="0" w:color="auto"/>
                                                                <w:left w:val="none" w:sz="0" w:space="0" w:color="auto"/>
                                                                <w:bottom w:val="none" w:sz="0" w:space="0" w:color="auto"/>
                                                                <w:right w:val="none" w:sz="0" w:space="0" w:color="auto"/>
                                                              </w:divBdr>
                                                              <w:divsChild>
                                                                <w:div w:id="16673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89276">
                                      <w:marLeft w:val="0"/>
                                      <w:marRight w:val="0"/>
                                      <w:marTop w:val="0"/>
                                      <w:marBottom w:val="0"/>
                                      <w:divBdr>
                                        <w:top w:val="none" w:sz="0" w:space="0" w:color="auto"/>
                                        <w:left w:val="none" w:sz="0" w:space="0" w:color="auto"/>
                                        <w:bottom w:val="none" w:sz="0" w:space="0" w:color="auto"/>
                                        <w:right w:val="none" w:sz="0" w:space="0" w:color="auto"/>
                                      </w:divBdr>
                                      <w:divsChild>
                                        <w:div w:id="289746057">
                                          <w:marLeft w:val="0"/>
                                          <w:marRight w:val="0"/>
                                          <w:marTop w:val="0"/>
                                          <w:marBottom w:val="0"/>
                                          <w:divBdr>
                                            <w:top w:val="none" w:sz="0" w:space="0" w:color="auto"/>
                                            <w:left w:val="none" w:sz="0" w:space="0" w:color="auto"/>
                                            <w:bottom w:val="none" w:sz="0" w:space="0" w:color="auto"/>
                                            <w:right w:val="none" w:sz="0" w:space="0" w:color="auto"/>
                                          </w:divBdr>
                                          <w:divsChild>
                                            <w:div w:id="643390701">
                                              <w:marLeft w:val="0"/>
                                              <w:marRight w:val="0"/>
                                              <w:marTop w:val="0"/>
                                              <w:marBottom w:val="0"/>
                                              <w:divBdr>
                                                <w:top w:val="none" w:sz="0" w:space="0" w:color="auto"/>
                                                <w:left w:val="none" w:sz="0" w:space="0" w:color="auto"/>
                                                <w:bottom w:val="none" w:sz="0" w:space="0" w:color="auto"/>
                                                <w:right w:val="none" w:sz="0" w:space="0" w:color="auto"/>
                                              </w:divBdr>
                                              <w:divsChild>
                                                <w:div w:id="1268580800">
                                                  <w:marLeft w:val="0"/>
                                                  <w:marRight w:val="0"/>
                                                  <w:marTop w:val="150"/>
                                                  <w:marBottom w:val="0"/>
                                                  <w:divBdr>
                                                    <w:top w:val="none" w:sz="0" w:space="0" w:color="auto"/>
                                                    <w:left w:val="none" w:sz="0" w:space="0" w:color="auto"/>
                                                    <w:bottom w:val="none" w:sz="0" w:space="0" w:color="auto"/>
                                                    <w:right w:val="none" w:sz="0" w:space="0" w:color="auto"/>
                                                  </w:divBdr>
                                                  <w:divsChild>
                                                    <w:div w:id="9152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557360">
      <w:bodyDiv w:val="1"/>
      <w:marLeft w:val="0"/>
      <w:marRight w:val="0"/>
      <w:marTop w:val="0"/>
      <w:marBottom w:val="0"/>
      <w:divBdr>
        <w:top w:val="none" w:sz="0" w:space="0" w:color="auto"/>
        <w:left w:val="none" w:sz="0" w:space="0" w:color="auto"/>
        <w:bottom w:val="none" w:sz="0" w:space="0" w:color="auto"/>
        <w:right w:val="none" w:sz="0" w:space="0" w:color="auto"/>
      </w:divBdr>
    </w:div>
    <w:div w:id="856776909">
      <w:bodyDiv w:val="1"/>
      <w:marLeft w:val="0"/>
      <w:marRight w:val="0"/>
      <w:marTop w:val="0"/>
      <w:marBottom w:val="0"/>
      <w:divBdr>
        <w:top w:val="none" w:sz="0" w:space="0" w:color="auto"/>
        <w:left w:val="none" w:sz="0" w:space="0" w:color="auto"/>
        <w:bottom w:val="none" w:sz="0" w:space="0" w:color="auto"/>
        <w:right w:val="none" w:sz="0" w:space="0" w:color="auto"/>
      </w:divBdr>
      <w:divsChild>
        <w:div w:id="883712155">
          <w:marLeft w:val="0"/>
          <w:marRight w:val="0"/>
          <w:marTop w:val="0"/>
          <w:marBottom w:val="0"/>
          <w:divBdr>
            <w:top w:val="none" w:sz="0" w:space="0" w:color="auto"/>
            <w:left w:val="none" w:sz="0" w:space="0" w:color="auto"/>
            <w:bottom w:val="none" w:sz="0" w:space="0" w:color="auto"/>
            <w:right w:val="none" w:sz="0" w:space="0" w:color="auto"/>
          </w:divBdr>
          <w:divsChild>
            <w:div w:id="361639523">
              <w:marLeft w:val="0"/>
              <w:marRight w:val="0"/>
              <w:marTop w:val="0"/>
              <w:marBottom w:val="0"/>
              <w:divBdr>
                <w:top w:val="none" w:sz="0" w:space="0" w:color="auto"/>
                <w:left w:val="none" w:sz="0" w:space="0" w:color="auto"/>
                <w:bottom w:val="none" w:sz="0" w:space="0" w:color="auto"/>
                <w:right w:val="none" w:sz="0" w:space="0" w:color="auto"/>
              </w:divBdr>
              <w:divsChild>
                <w:div w:id="313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69344">
      <w:bodyDiv w:val="1"/>
      <w:marLeft w:val="0"/>
      <w:marRight w:val="0"/>
      <w:marTop w:val="0"/>
      <w:marBottom w:val="0"/>
      <w:divBdr>
        <w:top w:val="none" w:sz="0" w:space="0" w:color="auto"/>
        <w:left w:val="none" w:sz="0" w:space="0" w:color="auto"/>
        <w:bottom w:val="none" w:sz="0" w:space="0" w:color="auto"/>
        <w:right w:val="none" w:sz="0" w:space="0" w:color="auto"/>
      </w:divBdr>
    </w:div>
    <w:div w:id="953752574">
      <w:bodyDiv w:val="1"/>
      <w:marLeft w:val="0"/>
      <w:marRight w:val="0"/>
      <w:marTop w:val="0"/>
      <w:marBottom w:val="0"/>
      <w:divBdr>
        <w:top w:val="none" w:sz="0" w:space="0" w:color="auto"/>
        <w:left w:val="none" w:sz="0" w:space="0" w:color="auto"/>
        <w:bottom w:val="none" w:sz="0" w:space="0" w:color="auto"/>
        <w:right w:val="none" w:sz="0" w:space="0" w:color="auto"/>
      </w:divBdr>
    </w:div>
    <w:div w:id="1094085061">
      <w:bodyDiv w:val="1"/>
      <w:marLeft w:val="0"/>
      <w:marRight w:val="0"/>
      <w:marTop w:val="0"/>
      <w:marBottom w:val="0"/>
      <w:divBdr>
        <w:top w:val="none" w:sz="0" w:space="0" w:color="auto"/>
        <w:left w:val="none" w:sz="0" w:space="0" w:color="auto"/>
        <w:bottom w:val="none" w:sz="0" w:space="0" w:color="auto"/>
        <w:right w:val="none" w:sz="0" w:space="0" w:color="auto"/>
      </w:divBdr>
    </w:div>
    <w:div w:id="1137644241">
      <w:bodyDiv w:val="1"/>
      <w:marLeft w:val="0"/>
      <w:marRight w:val="0"/>
      <w:marTop w:val="0"/>
      <w:marBottom w:val="0"/>
      <w:divBdr>
        <w:top w:val="none" w:sz="0" w:space="0" w:color="auto"/>
        <w:left w:val="none" w:sz="0" w:space="0" w:color="auto"/>
        <w:bottom w:val="none" w:sz="0" w:space="0" w:color="auto"/>
        <w:right w:val="none" w:sz="0" w:space="0" w:color="auto"/>
      </w:divBdr>
    </w:div>
    <w:div w:id="1173833890">
      <w:bodyDiv w:val="1"/>
      <w:marLeft w:val="0"/>
      <w:marRight w:val="0"/>
      <w:marTop w:val="0"/>
      <w:marBottom w:val="0"/>
      <w:divBdr>
        <w:top w:val="none" w:sz="0" w:space="0" w:color="auto"/>
        <w:left w:val="none" w:sz="0" w:space="0" w:color="auto"/>
        <w:bottom w:val="none" w:sz="0" w:space="0" w:color="auto"/>
        <w:right w:val="none" w:sz="0" w:space="0" w:color="auto"/>
      </w:divBdr>
      <w:divsChild>
        <w:div w:id="1697585142">
          <w:marLeft w:val="0"/>
          <w:marRight w:val="0"/>
          <w:marTop w:val="0"/>
          <w:marBottom w:val="0"/>
          <w:divBdr>
            <w:top w:val="none" w:sz="0" w:space="0" w:color="auto"/>
            <w:left w:val="none" w:sz="0" w:space="0" w:color="auto"/>
            <w:bottom w:val="none" w:sz="0" w:space="0" w:color="auto"/>
            <w:right w:val="none" w:sz="0" w:space="0" w:color="auto"/>
          </w:divBdr>
          <w:divsChild>
            <w:div w:id="263266819">
              <w:marLeft w:val="0"/>
              <w:marRight w:val="0"/>
              <w:marTop w:val="0"/>
              <w:marBottom w:val="0"/>
              <w:divBdr>
                <w:top w:val="none" w:sz="0" w:space="0" w:color="auto"/>
                <w:left w:val="none" w:sz="0" w:space="0" w:color="auto"/>
                <w:bottom w:val="none" w:sz="0" w:space="0" w:color="auto"/>
                <w:right w:val="none" w:sz="0" w:space="0" w:color="auto"/>
              </w:divBdr>
              <w:divsChild>
                <w:div w:id="1623726576">
                  <w:marLeft w:val="0"/>
                  <w:marRight w:val="0"/>
                  <w:marTop w:val="0"/>
                  <w:marBottom w:val="0"/>
                  <w:divBdr>
                    <w:top w:val="none" w:sz="0" w:space="0" w:color="auto"/>
                    <w:left w:val="none" w:sz="0" w:space="0" w:color="auto"/>
                    <w:bottom w:val="none" w:sz="0" w:space="0" w:color="auto"/>
                    <w:right w:val="none" w:sz="0" w:space="0" w:color="auto"/>
                  </w:divBdr>
                  <w:divsChild>
                    <w:div w:id="10421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916807">
      <w:bodyDiv w:val="1"/>
      <w:marLeft w:val="0"/>
      <w:marRight w:val="0"/>
      <w:marTop w:val="0"/>
      <w:marBottom w:val="0"/>
      <w:divBdr>
        <w:top w:val="none" w:sz="0" w:space="0" w:color="auto"/>
        <w:left w:val="none" w:sz="0" w:space="0" w:color="auto"/>
        <w:bottom w:val="none" w:sz="0" w:space="0" w:color="auto"/>
        <w:right w:val="none" w:sz="0" w:space="0" w:color="auto"/>
      </w:divBdr>
    </w:div>
    <w:div w:id="1251966246">
      <w:bodyDiv w:val="1"/>
      <w:marLeft w:val="0"/>
      <w:marRight w:val="0"/>
      <w:marTop w:val="0"/>
      <w:marBottom w:val="0"/>
      <w:divBdr>
        <w:top w:val="none" w:sz="0" w:space="0" w:color="auto"/>
        <w:left w:val="none" w:sz="0" w:space="0" w:color="auto"/>
        <w:bottom w:val="none" w:sz="0" w:space="0" w:color="auto"/>
        <w:right w:val="none" w:sz="0" w:space="0" w:color="auto"/>
      </w:divBdr>
    </w:div>
    <w:div w:id="1260873723">
      <w:bodyDiv w:val="1"/>
      <w:marLeft w:val="0"/>
      <w:marRight w:val="0"/>
      <w:marTop w:val="0"/>
      <w:marBottom w:val="0"/>
      <w:divBdr>
        <w:top w:val="none" w:sz="0" w:space="0" w:color="auto"/>
        <w:left w:val="none" w:sz="0" w:space="0" w:color="auto"/>
        <w:bottom w:val="none" w:sz="0" w:space="0" w:color="auto"/>
        <w:right w:val="none" w:sz="0" w:space="0" w:color="auto"/>
      </w:divBdr>
      <w:divsChild>
        <w:div w:id="1300382903">
          <w:marLeft w:val="-225"/>
          <w:marRight w:val="-225"/>
          <w:marTop w:val="0"/>
          <w:marBottom w:val="0"/>
          <w:divBdr>
            <w:top w:val="none" w:sz="0" w:space="0" w:color="auto"/>
            <w:left w:val="none" w:sz="0" w:space="0" w:color="auto"/>
            <w:bottom w:val="none" w:sz="0" w:space="0" w:color="auto"/>
            <w:right w:val="none" w:sz="0" w:space="0" w:color="auto"/>
          </w:divBdr>
          <w:divsChild>
            <w:div w:id="1981301169">
              <w:marLeft w:val="0"/>
              <w:marRight w:val="0"/>
              <w:marTop w:val="0"/>
              <w:marBottom w:val="0"/>
              <w:divBdr>
                <w:top w:val="none" w:sz="0" w:space="0" w:color="auto"/>
                <w:left w:val="none" w:sz="0" w:space="0" w:color="auto"/>
                <w:bottom w:val="none" w:sz="0" w:space="0" w:color="auto"/>
                <w:right w:val="none" w:sz="0" w:space="0" w:color="auto"/>
              </w:divBdr>
              <w:divsChild>
                <w:div w:id="54933204">
                  <w:marLeft w:val="0"/>
                  <w:marRight w:val="0"/>
                  <w:marTop w:val="0"/>
                  <w:marBottom w:val="0"/>
                  <w:divBdr>
                    <w:top w:val="none" w:sz="0" w:space="0" w:color="auto"/>
                    <w:left w:val="none" w:sz="0" w:space="0" w:color="auto"/>
                    <w:bottom w:val="none" w:sz="0" w:space="0" w:color="auto"/>
                    <w:right w:val="none" w:sz="0" w:space="0" w:color="auto"/>
                  </w:divBdr>
                </w:div>
              </w:divsChild>
            </w:div>
            <w:div w:id="1241134769">
              <w:marLeft w:val="0"/>
              <w:marRight w:val="0"/>
              <w:marTop w:val="0"/>
              <w:marBottom w:val="0"/>
              <w:divBdr>
                <w:top w:val="none" w:sz="0" w:space="0" w:color="auto"/>
                <w:left w:val="none" w:sz="0" w:space="0" w:color="auto"/>
                <w:bottom w:val="none" w:sz="0" w:space="0" w:color="auto"/>
                <w:right w:val="none" w:sz="0" w:space="0" w:color="auto"/>
              </w:divBdr>
            </w:div>
          </w:divsChild>
        </w:div>
        <w:div w:id="112410784">
          <w:marLeft w:val="-225"/>
          <w:marRight w:val="-225"/>
          <w:marTop w:val="0"/>
          <w:marBottom w:val="0"/>
          <w:divBdr>
            <w:top w:val="none" w:sz="0" w:space="0" w:color="auto"/>
            <w:left w:val="none" w:sz="0" w:space="0" w:color="auto"/>
            <w:bottom w:val="none" w:sz="0" w:space="0" w:color="auto"/>
            <w:right w:val="none" w:sz="0" w:space="0" w:color="auto"/>
          </w:divBdr>
          <w:divsChild>
            <w:div w:id="1810397419">
              <w:marLeft w:val="225"/>
              <w:marRight w:val="225"/>
              <w:marTop w:val="0"/>
              <w:marBottom w:val="0"/>
              <w:divBdr>
                <w:top w:val="single" w:sz="6" w:space="0" w:color="B1B4B6"/>
                <w:left w:val="none" w:sz="0" w:space="0" w:color="auto"/>
                <w:bottom w:val="none" w:sz="0" w:space="0" w:color="auto"/>
                <w:right w:val="none" w:sz="0" w:space="0" w:color="auto"/>
              </w:divBdr>
              <w:divsChild>
                <w:div w:id="1361904156">
                  <w:marLeft w:val="0"/>
                  <w:marRight w:val="0"/>
                  <w:marTop w:val="0"/>
                  <w:marBottom w:val="0"/>
                  <w:divBdr>
                    <w:top w:val="none" w:sz="0" w:space="0" w:color="auto"/>
                    <w:left w:val="none" w:sz="0" w:space="0" w:color="auto"/>
                    <w:bottom w:val="none" w:sz="0" w:space="0" w:color="auto"/>
                    <w:right w:val="none" w:sz="0" w:space="0" w:color="auto"/>
                  </w:divBdr>
                  <w:divsChild>
                    <w:div w:id="223563053">
                      <w:marLeft w:val="0"/>
                      <w:marRight w:val="0"/>
                      <w:marTop w:val="0"/>
                      <w:marBottom w:val="750"/>
                      <w:divBdr>
                        <w:top w:val="none" w:sz="0" w:space="0" w:color="auto"/>
                        <w:left w:val="none" w:sz="0" w:space="0" w:color="auto"/>
                        <w:bottom w:val="none" w:sz="0" w:space="0" w:color="auto"/>
                        <w:right w:val="none" w:sz="0" w:space="0" w:color="auto"/>
                      </w:divBdr>
                      <w:divsChild>
                        <w:div w:id="806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949677">
      <w:bodyDiv w:val="1"/>
      <w:marLeft w:val="0"/>
      <w:marRight w:val="0"/>
      <w:marTop w:val="0"/>
      <w:marBottom w:val="0"/>
      <w:divBdr>
        <w:top w:val="none" w:sz="0" w:space="0" w:color="auto"/>
        <w:left w:val="none" w:sz="0" w:space="0" w:color="auto"/>
        <w:bottom w:val="none" w:sz="0" w:space="0" w:color="auto"/>
        <w:right w:val="none" w:sz="0" w:space="0" w:color="auto"/>
      </w:divBdr>
    </w:div>
    <w:div w:id="1314915470">
      <w:bodyDiv w:val="1"/>
      <w:marLeft w:val="0"/>
      <w:marRight w:val="0"/>
      <w:marTop w:val="0"/>
      <w:marBottom w:val="0"/>
      <w:divBdr>
        <w:top w:val="none" w:sz="0" w:space="0" w:color="auto"/>
        <w:left w:val="none" w:sz="0" w:space="0" w:color="auto"/>
        <w:bottom w:val="none" w:sz="0" w:space="0" w:color="auto"/>
        <w:right w:val="none" w:sz="0" w:space="0" w:color="auto"/>
      </w:divBdr>
    </w:div>
    <w:div w:id="1356619438">
      <w:bodyDiv w:val="1"/>
      <w:marLeft w:val="0"/>
      <w:marRight w:val="0"/>
      <w:marTop w:val="0"/>
      <w:marBottom w:val="0"/>
      <w:divBdr>
        <w:top w:val="none" w:sz="0" w:space="0" w:color="auto"/>
        <w:left w:val="none" w:sz="0" w:space="0" w:color="auto"/>
        <w:bottom w:val="none" w:sz="0" w:space="0" w:color="auto"/>
        <w:right w:val="none" w:sz="0" w:space="0" w:color="auto"/>
      </w:divBdr>
      <w:divsChild>
        <w:div w:id="1148980217">
          <w:marLeft w:val="0"/>
          <w:marRight w:val="0"/>
          <w:marTop w:val="0"/>
          <w:marBottom w:val="0"/>
          <w:divBdr>
            <w:top w:val="none" w:sz="0" w:space="0" w:color="auto"/>
            <w:left w:val="none" w:sz="0" w:space="0" w:color="auto"/>
            <w:bottom w:val="none" w:sz="0" w:space="0" w:color="auto"/>
            <w:right w:val="none" w:sz="0" w:space="0" w:color="auto"/>
          </w:divBdr>
          <w:divsChild>
            <w:div w:id="1508210371">
              <w:marLeft w:val="0"/>
              <w:marRight w:val="0"/>
              <w:marTop w:val="0"/>
              <w:marBottom w:val="0"/>
              <w:divBdr>
                <w:top w:val="none" w:sz="0" w:space="0" w:color="auto"/>
                <w:left w:val="none" w:sz="0" w:space="0" w:color="auto"/>
                <w:bottom w:val="none" w:sz="0" w:space="0" w:color="auto"/>
                <w:right w:val="none" w:sz="0" w:space="0" w:color="auto"/>
              </w:divBdr>
              <w:divsChild>
                <w:div w:id="18831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87660">
      <w:bodyDiv w:val="1"/>
      <w:marLeft w:val="0"/>
      <w:marRight w:val="0"/>
      <w:marTop w:val="0"/>
      <w:marBottom w:val="0"/>
      <w:divBdr>
        <w:top w:val="none" w:sz="0" w:space="0" w:color="auto"/>
        <w:left w:val="none" w:sz="0" w:space="0" w:color="auto"/>
        <w:bottom w:val="none" w:sz="0" w:space="0" w:color="auto"/>
        <w:right w:val="none" w:sz="0" w:space="0" w:color="auto"/>
      </w:divBdr>
      <w:divsChild>
        <w:div w:id="1092971476">
          <w:marLeft w:val="0"/>
          <w:marRight w:val="0"/>
          <w:marTop w:val="0"/>
          <w:marBottom w:val="0"/>
          <w:divBdr>
            <w:top w:val="none" w:sz="0" w:space="0" w:color="auto"/>
            <w:left w:val="none" w:sz="0" w:space="0" w:color="auto"/>
            <w:bottom w:val="none" w:sz="0" w:space="0" w:color="auto"/>
            <w:right w:val="none" w:sz="0" w:space="0" w:color="auto"/>
          </w:divBdr>
          <w:divsChild>
            <w:div w:id="817265938">
              <w:marLeft w:val="0"/>
              <w:marRight w:val="0"/>
              <w:marTop w:val="0"/>
              <w:marBottom w:val="0"/>
              <w:divBdr>
                <w:top w:val="none" w:sz="0" w:space="0" w:color="auto"/>
                <w:left w:val="none" w:sz="0" w:space="0" w:color="auto"/>
                <w:bottom w:val="none" w:sz="0" w:space="0" w:color="auto"/>
                <w:right w:val="none" w:sz="0" w:space="0" w:color="auto"/>
              </w:divBdr>
              <w:divsChild>
                <w:div w:id="19723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2111">
      <w:bodyDiv w:val="1"/>
      <w:marLeft w:val="0"/>
      <w:marRight w:val="0"/>
      <w:marTop w:val="0"/>
      <w:marBottom w:val="0"/>
      <w:divBdr>
        <w:top w:val="none" w:sz="0" w:space="0" w:color="auto"/>
        <w:left w:val="none" w:sz="0" w:space="0" w:color="auto"/>
        <w:bottom w:val="none" w:sz="0" w:space="0" w:color="auto"/>
        <w:right w:val="none" w:sz="0" w:space="0" w:color="auto"/>
      </w:divBdr>
    </w:div>
    <w:div w:id="1659188996">
      <w:bodyDiv w:val="1"/>
      <w:marLeft w:val="0"/>
      <w:marRight w:val="0"/>
      <w:marTop w:val="0"/>
      <w:marBottom w:val="0"/>
      <w:divBdr>
        <w:top w:val="none" w:sz="0" w:space="0" w:color="auto"/>
        <w:left w:val="none" w:sz="0" w:space="0" w:color="auto"/>
        <w:bottom w:val="none" w:sz="0" w:space="0" w:color="auto"/>
        <w:right w:val="none" w:sz="0" w:space="0" w:color="auto"/>
      </w:divBdr>
    </w:div>
    <w:div w:id="1666281752">
      <w:bodyDiv w:val="1"/>
      <w:marLeft w:val="0"/>
      <w:marRight w:val="0"/>
      <w:marTop w:val="0"/>
      <w:marBottom w:val="0"/>
      <w:divBdr>
        <w:top w:val="none" w:sz="0" w:space="0" w:color="auto"/>
        <w:left w:val="none" w:sz="0" w:space="0" w:color="auto"/>
        <w:bottom w:val="none" w:sz="0" w:space="0" w:color="auto"/>
        <w:right w:val="none" w:sz="0" w:space="0" w:color="auto"/>
      </w:divBdr>
    </w:div>
    <w:div w:id="1705448021">
      <w:bodyDiv w:val="1"/>
      <w:marLeft w:val="0"/>
      <w:marRight w:val="0"/>
      <w:marTop w:val="0"/>
      <w:marBottom w:val="0"/>
      <w:divBdr>
        <w:top w:val="none" w:sz="0" w:space="0" w:color="auto"/>
        <w:left w:val="none" w:sz="0" w:space="0" w:color="auto"/>
        <w:bottom w:val="none" w:sz="0" w:space="0" w:color="auto"/>
        <w:right w:val="none" w:sz="0" w:space="0" w:color="auto"/>
      </w:divBdr>
      <w:divsChild>
        <w:div w:id="216746689">
          <w:marLeft w:val="0"/>
          <w:marRight w:val="0"/>
          <w:marTop w:val="0"/>
          <w:marBottom w:val="0"/>
          <w:divBdr>
            <w:top w:val="none" w:sz="0" w:space="0" w:color="auto"/>
            <w:left w:val="none" w:sz="0" w:space="0" w:color="auto"/>
            <w:bottom w:val="none" w:sz="0" w:space="0" w:color="auto"/>
            <w:right w:val="none" w:sz="0" w:space="0" w:color="auto"/>
          </w:divBdr>
        </w:div>
        <w:div w:id="1892841486">
          <w:marLeft w:val="0"/>
          <w:marRight w:val="0"/>
          <w:marTop w:val="0"/>
          <w:marBottom w:val="0"/>
          <w:divBdr>
            <w:top w:val="none" w:sz="0" w:space="0" w:color="auto"/>
            <w:left w:val="none" w:sz="0" w:space="0" w:color="auto"/>
            <w:bottom w:val="none" w:sz="0" w:space="0" w:color="auto"/>
            <w:right w:val="none" w:sz="0" w:space="0" w:color="auto"/>
          </w:divBdr>
        </w:div>
      </w:divsChild>
    </w:div>
    <w:div w:id="1732579243">
      <w:bodyDiv w:val="1"/>
      <w:marLeft w:val="0"/>
      <w:marRight w:val="0"/>
      <w:marTop w:val="0"/>
      <w:marBottom w:val="0"/>
      <w:divBdr>
        <w:top w:val="none" w:sz="0" w:space="0" w:color="auto"/>
        <w:left w:val="none" w:sz="0" w:space="0" w:color="auto"/>
        <w:bottom w:val="none" w:sz="0" w:space="0" w:color="auto"/>
        <w:right w:val="none" w:sz="0" w:space="0" w:color="auto"/>
      </w:divBdr>
      <w:divsChild>
        <w:div w:id="1071198834">
          <w:marLeft w:val="0"/>
          <w:marRight w:val="0"/>
          <w:marTop w:val="0"/>
          <w:marBottom w:val="0"/>
          <w:divBdr>
            <w:top w:val="none" w:sz="0" w:space="0" w:color="auto"/>
            <w:left w:val="none" w:sz="0" w:space="0" w:color="auto"/>
            <w:bottom w:val="none" w:sz="0" w:space="0" w:color="auto"/>
            <w:right w:val="none" w:sz="0" w:space="0" w:color="auto"/>
          </w:divBdr>
          <w:divsChild>
            <w:div w:id="1762947845">
              <w:marLeft w:val="0"/>
              <w:marRight w:val="0"/>
              <w:marTop w:val="0"/>
              <w:marBottom w:val="0"/>
              <w:divBdr>
                <w:top w:val="none" w:sz="0" w:space="0" w:color="auto"/>
                <w:left w:val="none" w:sz="0" w:space="0" w:color="auto"/>
                <w:bottom w:val="none" w:sz="0" w:space="0" w:color="auto"/>
                <w:right w:val="none" w:sz="0" w:space="0" w:color="auto"/>
              </w:divBdr>
              <w:divsChild>
                <w:div w:id="2915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1097">
      <w:bodyDiv w:val="1"/>
      <w:marLeft w:val="0"/>
      <w:marRight w:val="0"/>
      <w:marTop w:val="0"/>
      <w:marBottom w:val="0"/>
      <w:divBdr>
        <w:top w:val="none" w:sz="0" w:space="0" w:color="auto"/>
        <w:left w:val="none" w:sz="0" w:space="0" w:color="auto"/>
        <w:bottom w:val="none" w:sz="0" w:space="0" w:color="auto"/>
        <w:right w:val="none" w:sz="0" w:space="0" w:color="auto"/>
      </w:divBdr>
      <w:divsChild>
        <w:div w:id="1979915125">
          <w:marLeft w:val="0"/>
          <w:marRight w:val="0"/>
          <w:marTop w:val="0"/>
          <w:marBottom w:val="0"/>
          <w:divBdr>
            <w:top w:val="none" w:sz="0" w:space="0" w:color="auto"/>
            <w:left w:val="none" w:sz="0" w:space="0" w:color="auto"/>
            <w:bottom w:val="none" w:sz="0" w:space="0" w:color="auto"/>
            <w:right w:val="none" w:sz="0" w:space="0" w:color="auto"/>
          </w:divBdr>
          <w:divsChild>
            <w:div w:id="2116628436">
              <w:marLeft w:val="0"/>
              <w:marRight w:val="0"/>
              <w:marTop w:val="0"/>
              <w:marBottom w:val="0"/>
              <w:divBdr>
                <w:top w:val="none" w:sz="0" w:space="0" w:color="auto"/>
                <w:left w:val="none" w:sz="0" w:space="0" w:color="auto"/>
                <w:bottom w:val="none" w:sz="0" w:space="0" w:color="auto"/>
                <w:right w:val="none" w:sz="0" w:space="0" w:color="auto"/>
              </w:divBdr>
              <w:divsChild>
                <w:div w:id="1600064372">
                  <w:marLeft w:val="0"/>
                  <w:marRight w:val="0"/>
                  <w:marTop w:val="0"/>
                  <w:marBottom w:val="0"/>
                  <w:divBdr>
                    <w:top w:val="none" w:sz="0" w:space="0" w:color="auto"/>
                    <w:left w:val="none" w:sz="0" w:space="0" w:color="auto"/>
                    <w:bottom w:val="none" w:sz="0" w:space="0" w:color="auto"/>
                    <w:right w:val="none" w:sz="0" w:space="0" w:color="auto"/>
                  </w:divBdr>
                  <w:divsChild>
                    <w:div w:id="5556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0192">
      <w:bodyDiv w:val="1"/>
      <w:marLeft w:val="0"/>
      <w:marRight w:val="0"/>
      <w:marTop w:val="0"/>
      <w:marBottom w:val="0"/>
      <w:divBdr>
        <w:top w:val="none" w:sz="0" w:space="0" w:color="auto"/>
        <w:left w:val="none" w:sz="0" w:space="0" w:color="auto"/>
        <w:bottom w:val="none" w:sz="0" w:space="0" w:color="auto"/>
        <w:right w:val="none" w:sz="0" w:space="0" w:color="auto"/>
      </w:divBdr>
    </w:div>
    <w:div w:id="2032564822">
      <w:bodyDiv w:val="1"/>
      <w:marLeft w:val="0"/>
      <w:marRight w:val="0"/>
      <w:marTop w:val="0"/>
      <w:marBottom w:val="0"/>
      <w:divBdr>
        <w:top w:val="none" w:sz="0" w:space="0" w:color="auto"/>
        <w:left w:val="none" w:sz="0" w:space="0" w:color="auto"/>
        <w:bottom w:val="none" w:sz="0" w:space="0" w:color="auto"/>
        <w:right w:val="none" w:sz="0" w:space="0" w:color="auto"/>
      </w:divBdr>
    </w:div>
    <w:div w:id="2034838088">
      <w:bodyDiv w:val="1"/>
      <w:marLeft w:val="0"/>
      <w:marRight w:val="0"/>
      <w:marTop w:val="0"/>
      <w:marBottom w:val="0"/>
      <w:divBdr>
        <w:top w:val="none" w:sz="0" w:space="0" w:color="auto"/>
        <w:left w:val="none" w:sz="0" w:space="0" w:color="auto"/>
        <w:bottom w:val="none" w:sz="0" w:space="0" w:color="auto"/>
        <w:right w:val="none" w:sz="0" w:space="0" w:color="auto"/>
      </w:divBdr>
    </w:div>
    <w:div w:id="2056809634">
      <w:bodyDiv w:val="1"/>
      <w:marLeft w:val="0"/>
      <w:marRight w:val="0"/>
      <w:marTop w:val="0"/>
      <w:marBottom w:val="0"/>
      <w:divBdr>
        <w:top w:val="none" w:sz="0" w:space="0" w:color="auto"/>
        <w:left w:val="none" w:sz="0" w:space="0" w:color="auto"/>
        <w:bottom w:val="none" w:sz="0" w:space="0" w:color="auto"/>
        <w:right w:val="none" w:sz="0" w:space="0" w:color="auto"/>
      </w:divBdr>
      <w:divsChild>
        <w:div w:id="800541357">
          <w:marLeft w:val="0"/>
          <w:marRight w:val="0"/>
          <w:marTop w:val="0"/>
          <w:marBottom w:val="0"/>
          <w:divBdr>
            <w:top w:val="none" w:sz="0" w:space="0" w:color="auto"/>
            <w:left w:val="none" w:sz="0" w:space="0" w:color="auto"/>
            <w:bottom w:val="none" w:sz="0" w:space="0" w:color="auto"/>
            <w:right w:val="none" w:sz="0" w:space="0" w:color="auto"/>
          </w:divBdr>
          <w:divsChild>
            <w:div w:id="1725984790">
              <w:marLeft w:val="0"/>
              <w:marRight w:val="0"/>
              <w:marTop w:val="0"/>
              <w:marBottom w:val="0"/>
              <w:divBdr>
                <w:top w:val="none" w:sz="0" w:space="0" w:color="auto"/>
                <w:left w:val="none" w:sz="0" w:space="0" w:color="auto"/>
                <w:bottom w:val="none" w:sz="0" w:space="0" w:color="auto"/>
                <w:right w:val="none" w:sz="0" w:space="0" w:color="auto"/>
              </w:divBdr>
              <w:divsChild>
                <w:div w:id="7838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5650">
      <w:bodyDiv w:val="1"/>
      <w:marLeft w:val="0"/>
      <w:marRight w:val="0"/>
      <w:marTop w:val="0"/>
      <w:marBottom w:val="0"/>
      <w:divBdr>
        <w:top w:val="none" w:sz="0" w:space="0" w:color="auto"/>
        <w:left w:val="none" w:sz="0" w:space="0" w:color="auto"/>
        <w:bottom w:val="none" w:sz="0" w:space="0" w:color="auto"/>
        <w:right w:val="none" w:sz="0" w:space="0" w:color="auto"/>
      </w:divBdr>
      <w:divsChild>
        <w:div w:id="790443362">
          <w:marLeft w:val="0"/>
          <w:marRight w:val="0"/>
          <w:marTop w:val="0"/>
          <w:marBottom w:val="0"/>
          <w:divBdr>
            <w:top w:val="none" w:sz="0" w:space="0" w:color="auto"/>
            <w:left w:val="none" w:sz="0" w:space="0" w:color="auto"/>
            <w:bottom w:val="none" w:sz="0" w:space="0" w:color="auto"/>
            <w:right w:val="none" w:sz="0" w:space="0" w:color="auto"/>
          </w:divBdr>
          <w:divsChild>
            <w:div w:id="490608669">
              <w:marLeft w:val="0"/>
              <w:marRight w:val="0"/>
              <w:marTop w:val="0"/>
              <w:marBottom w:val="0"/>
              <w:divBdr>
                <w:top w:val="none" w:sz="0" w:space="0" w:color="auto"/>
                <w:left w:val="none" w:sz="0" w:space="0" w:color="auto"/>
                <w:bottom w:val="none" w:sz="0" w:space="0" w:color="auto"/>
                <w:right w:val="none" w:sz="0" w:space="0" w:color="auto"/>
              </w:divBdr>
              <w:divsChild>
                <w:div w:id="8101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236">
      <w:bodyDiv w:val="1"/>
      <w:marLeft w:val="0"/>
      <w:marRight w:val="0"/>
      <w:marTop w:val="0"/>
      <w:marBottom w:val="0"/>
      <w:divBdr>
        <w:top w:val="none" w:sz="0" w:space="0" w:color="auto"/>
        <w:left w:val="none" w:sz="0" w:space="0" w:color="auto"/>
        <w:bottom w:val="none" w:sz="0" w:space="0" w:color="auto"/>
        <w:right w:val="none" w:sz="0" w:space="0" w:color="auto"/>
      </w:divBdr>
    </w:div>
    <w:div w:id="2099129248">
      <w:bodyDiv w:val="1"/>
      <w:marLeft w:val="0"/>
      <w:marRight w:val="0"/>
      <w:marTop w:val="0"/>
      <w:marBottom w:val="0"/>
      <w:divBdr>
        <w:top w:val="none" w:sz="0" w:space="0" w:color="auto"/>
        <w:left w:val="none" w:sz="0" w:space="0" w:color="auto"/>
        <w:bottom w:val="none" w:sz="0" w:space="0" w:color="auto"/>
        <w:right w:val="none" w:sz="0" w:space="0" w:color="auto"/>
      </w:divBdr>
      <w:divsChild>
        <w:div w:id="1921060811">
          <w:marLeft w:val="0"/>
          <w:marRight w:val="0"/>
          <w:marTop w:val="0"/>
          <w:marBottom w:val="0"/>
          <w:divBdr>
            <w:top w:val="none" w:sz="0" w:space="0" w:color="auto"/>
            <w:left w:val="none" w:sz="0" w:space="0" w:color="auto"/>
            <w:bottom w:val="none" w:sz="0" w:space="0" w:color="auto"/>
            <w:right w:val="none" w:sz="0" w:space="0" w:color="auto"/>
          </w:divBdr>
          <w:divsChild>
            <w:div w:id="974146051">
              <w:marLeft w:val="0"/>
              <w:marRight w:val="0"/>
              <w:marTop w:val="0"/>
              <w:marBottom w:val="0"/>
              <w:divBdr>
                <w:top w:val="none" w:sz="0" w:space="0" w:color="auto"/>
                <w:left w:val="none" w:sz="0" w:space="0" w:color="auto"/>
                <w:bottom w:val="none" w:sz="0" w:space="0" w:color="auto"/>
                <w:right w:val="none" w:sz="0" w:space="0" w:color="auto"/>
              </w:divBdr>
              <w:divsChild>
                <w:div w:id="2516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6973">
      <w:bodyDiv w:val="1"/>
      <w:marLeft w:val="0"/>
      <w:marRight w:val="0"/>
      <w:marTop w:val="0"/>
      <w:marBottom w:val="0"/>
      <w:divBdr>
        <w:top w:val="none" w:sz="0" w:space="0" w:color="auto"/>
        <w:left w:val="none" w:sz="0" w:space="0" w:color="auto"/>
        <w:bottom w:val="none" w:sz="0" w:space="0" w:color="auto"/>
        <w:right w:val="none" w:sz="0" w:space="0" w:color="auto"/>
      </w:divBdr>
      <w:divsChild>
        <w:div w:id="729890525">
          <w:marLeft w:val="0"/>
          <w:marRight w:val="0"/>
          <w:marTop w:val="0"/>
          <w:marBottom w:val="0"/>
          <w:divBdr>
            <w:top w:val="none" w:sz="0" w:space="0" w:color="auto"/>
            <w:left w:val="none" w:sz="0" w:space="0" w:color="auto"/>
            <w:bottom w:val="none" w:sz="0" w:space="0" w:color="auto"/>
            <w:right w:val="none" w:sz="0" w:space="0" w:color="auto"/>
          </w:divBdr>
          <w:divsChild>
            <w:div w:id="1573932682">
              <w:marLeft w:val="0"/>
              <w:marRight w:val="0"/>
              <w:marTop w:val="0"/>
              <w:marBottom w:val="0"/>
              <w:divBdr>
                <w:top w:val="none" w:sz="0" w:space="0" w:color="auto"/>
                <w:left w:val="none" w:sz="0" w:space="0" w:color="auto"/>
                <w:bottom w:val="none" w:sz="0" w:space="0" w:color="auto"/>
                <w:right w:val="none" w:sz="0" w:space="0" w:color="auto"/>
              </w:divBdr>
            </w:div>
          </w:divsChild>
        </w:div>
        <w:div w:id="811750615">
          <w:marLeft w:val="0"/>
          <w:marRight w:val="0"/>
          <w:marTop w:val="0"/>
          <w:marBottom w:val="150"/>
          <w:divBdr>
            <w:top w:val="none" w:sz="0" w:space="0" w:color="auto"/>
            <w:left w:val="none" w:sz="0" w:space="0" w:color="auto"/>
            <w:bottom w:val="none" w:sz="0" w:space="0" w:color="auto"/>
            <w:right w:val="none" w:sz="0" w:space="0" w:color="auto"/>
          </w:divBdr>
          <w:divsChild>
            <w:div w:id="46490966">
              <w:marLeft w:val="0"/>
              <w:marRight w:val="0"/>
              <w:marTop w:val="0"/>
              <w:marBottom w:val="0"/>
              <w:divBdr>
                <w:top w:val="none" w:sz="0" w:space="0" w:color="auto"/>
                <w:left w:val="none" w:sz="0" w:space="0" w:color="auto"/>
                <w:bottom w:val="none" w:sz="0" w:space="0" w:color="auto"/>
                <w:right w:val="none" w:sz="0" w:space="0" w:color="auto"/>
              </w:divBdr>
              <w:divsChild>
                <w:div w:id="1352805099">
                  <w:marLeft w:val="0"/>
                  <w:marRight w:val="0"/>
                  <w:marTop w:val="0"/>
                  <w:marBottom w:val="0"/>
                  <w:divBdr>
                    <w:top w:val="none" w:sz="0" w:space="0" w:color="auto"/>
                    <w:left w:val="none" w:sz="0" w:space="0" w:color="auto"/>
                    <w:bottom w:val="none" w:sz="0" w:space="0" w:color="auto"/>
                    <w:right w:val="none" w:sz="0" w:space="0" w:color="auto"/>
                  </w:divBdr>
                  <w:divsChild>
                    <w:div w:id="7674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673">
          <w:marLeft w:val="0"/>
          <w:marRight w:val="0"/>
          <w:marTop w:val="30"/>
          <w:marBottom w:val="105"/>
          <w:divBdr>
            <w:top w:val="none" w:sz="0" w:space="0" w:color="auto"/>
            <w:left w:val="none" w:sz="0" w:space="0" w:color="auto"/>
            <w:bottom w:val="none" w:sz="0" w:space="0" w:color="auto"/>
            <w:right w:val="none" w:sz="0" w:space="0" w:color="auto"/>
          </w:divBdr>
          <w:divsChild>
            <w:div w:id="890072553">
              <w:marLeft w:val="0"/>
              <w:marRight w:val="0"/>
              <w:marTop w:val="0"/>
              <w:marBottom w:val="0"/>
              <w:divBdr>
                <w:top w:val="none" w:sz="0" w:space="0" w:color="auto"/>
                <w:left w:val="none" w:sz="0" w:space="0" w:color="auto"/>
                <w:bottom w:val="none" w:sz="0" w:space="0" w:color="auto"/>
                <w:right w:val="none" w:sz="0" w:space="0" w:color="auto"/>
              </w:divBdr>
              <w:divsChild>
                <w:div w:id="1508473415">
                  <w:marLeft w:val="0"/>
                  <w:marRight w:val="0"/>
                  <w:marTop w:val="0"/>
                  <w:marBottom w:val="0"/>
                  <w:divBdr>
                    <w:top w:val="none" w:sz="0" w:space="0" w:color="auto"/>
                    <w:left w:val="none" w:sz="0" w:space="0" w:color="auto"/>
                    <w:bottom w:val="none" w:sz="0" w:space="0" w:color="auto"/>
                    <w:right w:val="none" w:sz="0" w:space="0" w:color="auto"/>
                  </w:divBdr>
                  <w:divsChild>
                    <w:div w:id="42145549">
                      <w:marLeft w:val="0"/>
                      <w:marRight w:val="0"/>
                      <w:marTop w:val="0"/>
                      <w:marBottom w:val="0"/>
                      <w:divBdr>
                        <w:top w:val="none" w:sz="0" w:space="0" w:color="auto"/>
                        <w:left w:val="none" w:sz="0" w:space="0" w:color="auto"/>
                        <w:bottom w:val="none" w:sz="0" w:space="0" w:color="auto"/>
                        <w:right w:val="none" w:sz="0" w:space="0" w:color="auto"/>
                      </w:divBdr>
                      <w:divsChild>
                        <w:div w:id="13636328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364016004">
              <w:marLeft w:val="0"/>
              <w:marRight w:val="0"/>
              <w:marTop w:val="0"/>
              <w:marBottom w:val="0"/>
              <w:divBdr>
                <w:top w:val="none" w:sz="0" w:space="0" w:color="auto"/>
                <w:left w:val="none" w:sz="0" w:space="0" w:color="auto"/>
                <w:bottom w:val="none" w:sz="0" w:space="0" w:color="auto"/>
                <w:right w:val="none" w:sz="0" w:space="0" w:color="auto"/>
              </w:divBdr>
              <w:divsChild>
                <w:div w:id="438836363">
                  <w:marLeft w:val="0"/>
                  <w:marRight w:val="0"/>
                  <w:marTop w:val="0"/>
                  <w:marBottom w:val="0"/>
                  <w:divBdr>
                    <w:top w:val="none" w:sz="0" w:space="0" w:color="auto"/>
                    <w:left w:val="none" w:sz="0" w:space="0" w:color="auto"/>
                    <w:bottom w:val="none" w:sz="0" w:space="0" w:color="auto"/>
                    <w:right w:val="none" w:sz="0" w:space="0" w:color="auto"/>
                  </w:divBdr>
                  <w:divsChild>
                    <w:div w:id="1173110452">
                      <w:marLeft w:val="0"/>
                      <w:marRight w:val="0"/>
                      <w:marTop w:val="0"/>
                      <w:marBottom w:val="0"/>
                      <w:divBdr>
                        <w:top w:val="none" w:sz="0" w:space="0" w:color="auto"/>
                        <w:left w:val="none" w:sz="0" w:space="0" w:color="auto"/>
                        <w:bottom w:val="none" w:sz="0" w:space="0" w:color="auto"/>
                        <w:right w:val="none" w:sz="0" w:space="0" w:color="auto"/>
                      </w:divBdr>
                      <w:divsChild>
                        <w:div w:id="430708773">
                          <w:marLeft w:val="0"/>
                          <w:marRight w:val="0"/>
                          <w:marTop w:val="0"/>
                          <w:marBottom w:val="0"/>
                          <w:divBdr>
                            <w:top w:val="none" w:sz="0" w:space="0" w:color="auto"/>
                            <w:left w:val="none" w:sz="0" w:space="0" w:color="auto"/>
                            <w:bottom w:val="none" w:sz="0" w:space="0" w:color="auto"/>
                            <w:right w:val="none" w:sz="0" w:space="0" w:color="auto"/>
                          </w:divBdr>
                          <w:divsChild>
                            <w:div w:id="1884637116">
                              <w:marLeft w:val="0"/>
                              <w:marRight w:val="0"/>
                              <w:marTop w:val="0"/>
                              <w:marBottom w:val="0"/>
                              <w:divBdr>
                                <w:top w:val="none" w:sz="0" w:space="0" w:color="auto"/>
                                <w:left w:val="none" w:sz="0" w:space="0" w:color="auto"/>
                                <w:bottom w:val="none" w:sz="0" w:space="0" w:color="auto"/>
                                <w:right w:val="none" w:sz="0" w:space="0" w:color="auto"/>
                              </w:divBdr>
                              <w:divsChild>
                                <w:div w:id="599990377">
                                  <w:marLeft w:val="0"/>
                                  <w:marRight w:val="0"/>
                                  <w:marTop w:val="0"/>
                                  <w:marBottom w:val="0"/>
                                  <w:divBdr>
                                    <w:top w:val="none" w:sz="0" w:space="0" w:color="auto"/>
                                    <w:left w:val="none" w:sz="0" w:space="0" w:color="auto"/>
                                    <w:bottom w:val="none" w:sz="0" w:space="0" w:color="auto"/>
                                    <w:right w:val="none" w:sz="0" w:space="0" w:color="auto"/>
                                  </w:divBdr>
                                  <w:divsChild>
                                    <w:div w:id="1144587356">
                                      <w:marLeft w:val="0"/>
                                      <w:marRight w:val="0"/>
                                      <w:marTop w:val="0"/>
                                      <w:marBottom w:val="0"/>
                                      <w:divBdr>
                                        <w:top w:val="none" w:sz="0" w:space="0" w:color="auto"/>
                                        <w:left w:val="none" w:sz="0" w:space="0" w:color="auto"/>
                                        <w:bottom w:val="none" w:sz="0" w:space="0" w:color="auto"/>
                                        <w:right w:val="none" w:sz="0" w:space="0" w:color="auto"/>
                                      </w:divBdr>
                                      <w:divsChild>
                                        <w:div w:id="406996425">
                                          <w:marLeft w:val="0"/>
                                          <w:marRight w:val="0"/>
                                          <w:marTop w:val="0"/>
                                          <w:marBottom w:val="0"/>
                                          <w:divBdr>
                                            <w:top w:val="none" w:sz="0" w:space="0" w:color="auto"/>
                                            <w:left w:val="none" w:sz="0" w:space="0" w:color="auto"/>
                                            <w:bottom w:val="none" w:sz="0" w:space="0" w:color="auto"/>
                                            <w:right w:val="none" w:sz="0" w:space="0" w:color="auto"/>
                                          </w:divBdr>
                                          <w:divsChild>
                                            <w:div w:id="98180302">
                                              <w:marLeft w:val="0"/>
                                              <w:marRight w:val="0"/>
                                              <w:marTop w:val="0"/>
                                              <w:marBottom w:val="0"/>
                                              <w:divBdr>
                                                <w:top w:val="none" w:sz="0" w:space="0" w:color="auto"/>
                                                <w:left w:val="none" w:sz="0" w:space="0" w:color="auto"/>
                                                <w:bottom w:val="none" w:sz="0" w:space="0" w:color="auto"/>
                                                <w:right w:val="none" w:sz="0" w:space="0" w:color="auto"/>
                                              </w:divBdr>
                                              <w:divsChild>
                                                <w:div w:id="272133791">
                                                  <w:marLeft w:val="0"/>
                                                  <w:marRight w:val="0"/>
                                                  <w:marTop w:val="0"/>
                                                  <w:marBottom w:val="0"/>
                                                  <w:divBdr>
                                                    <w:top w:val="none" w:sz="0" w:space="0" w:color="auto"/>
                                                    <w:left w:val="none" w:sz="0" w:space="0" w:color="auto"/>
                                                    <w:bottom w:val="none" w:sz="0" w:space="0" w:color="auto"/>
                                                    <w:right w:val="none" w:sz="0" w:space="0" w:color="auto"/>
                                                  </w:divBdr>
                                                  <w:divsChild>
                                                    <w:div w:id="465779668">
                                                      <w:marLeft w:val="0"/>
                                                      <w:marRight w:val="0"/>
                                                      <w:marTop w:val="0"/>
                                                      <w:marBottom w:val="0"/>
                                                      <w:divBdr>
                                                        <w:top w:val="none" w:sz="0" w:space="0" w:color="auto"/>
                                                        <w:left w:val="none" w:sz="0" w:space="0" w:color="auto"/>
                                                        <w:bottom w:val="none" w:sz="0" w:space="0" w:color="auto"/>
                                                        <w:right w:val="none" w:sz="0" w:space="0" w:color="auto"/>
                                                      </w:divBdr>
                                                      <w:divsChild>
                                                        <w:div w:id="428083825">
                                                          <w:marLeft w:val="0"/>
                                                          <w:marRight w:val="0"/>
                                                          <w:marTop w:val="0"/>
                                                          <w:marBottom w:val="0"/>
                                                          <w:divBdr>
                                                            <w:top w:val="none" w:sz="0" w:space="0" w:color="auto"/>
                                                            <w:left w:val="none" w:sz="0" w:space="0" w:color="auto"/>
                                                            <w:bottom w:val="none" w:sz="0" w:space="0" w:color="auto"/>
                                                            <w:right w:val="none" w:sz="0" w:space="0" w:color="auto"/>
                                                          </w:divBdr>
                                                          <w:divsChild>
                                                            <w:div w:id="17194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3444">
                                                      <w:marLeft w:val="0"/>
                                                      <w:marRight w:val="0"/>
                                                      <w:marTop w:val="75"/>
                                                      <w:marBottom w:val="75"/>
                                                      <w:divBdr>
                                                        <w:top w:val="none" w:sz="0" w:space="0" w:color="auto"/>
                                                        <w:left w:val="none" w:sz="0" w:space="0" w:color="auto"/>
                                                        <w:bottom w:val="none" w:sz="0" w:space="0" w:color="auto"/>
                                                        <w:right w:val="none" w:sz="0" w:space="0" w:color="auto"/>
                                                      </w:divBdr>
                                                      <w:divsChild>
                                                        <w:div w:id="1951350361">
                                                          <w:marLeft w:val="0"/>
                                                          <w:marRight w:val="0"/>
                                                          <w:marTop w:val="0"/>
                                                          <w:marBottom w:val="0"/>
                                                          <w:divBdr>
                                                            <w:top w:val="none" w:sz="0" w:space="0" w:color="auto"/>
                                                            <w:left w:val="none" w:sz="0" w:space="0" w:color="auto"/>
                                                            <w:bottom w:val="none" w:sz="0" w:space="0" w:color="auto"/>
                                                            <w:right w:val="none" w:sz="0" w:space="0" w:color="auto"/>
                                                          </w:divBdr>
                                                          <w:divsChild>
                                                            <w:div w:id="320699267">
                                                              <w:marLeft w:val="0"/>
                                                              <w:marRight w:val="0"/>
                                                              <w:marTop w:val="0"/>
                                                              <w:marBottom w:val="0"/>
                                                              <w:divBdr>
                                                                <w:top w:val="none" w:sz="0" w:space="0" w:color="auto"/>
                                                                <w:left w:val="none" w:sz="0" w:space="0" w:color="auto"/>
                                                                <w:bottom w:val="none" w:sz="0" w:space="0" w:color="auto"/>
                                                                <w:right w:val="none" w:sz="0" w:space="0" w:color="auto"/>
                                                              </w:divBdr>
                                                              <w:divsChild>
                                                                <w:div w:id="12970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63707">
                                      <w:marLeft w:val="0"/>
                                      <w:marRight w:val="0"/>
                                      <w:marTop w:val="0"/>
                                      <w:marBottom w:val="0"/>
                                      <w:divBdr>
                                        <w:top w:val="none" w:sz="0" w:space="0" w:color="auto"/>
                                        <w:left w:val="none" w:sz="0" w:space="0" w:color="auto"/>
                                        <w:bottom w:val="none" w:sz="0" w:space="0" w:color="auto"/>
                                        <w:right w:val="none" w:sz="0" w:space="0" w:color="auto"/>
                                      </w:divBdr>
                                      <w:divsChild>
                                        <w:div w:id="2037806834">
                                          <w:marLeft w:val="0"/>
                                          <w:marRight w:val="0"/>
                                          <w:marTop w:val="0"/>
                                          <w:marBottom w:val="0"/>
                                          <w:divBdr>
                                            <w:top w:val="none" w:sz="0" w:space="0" w:color="auto"/>
                                            <w:left w:val="none" w:sz="0" w:space="0" w:color="auto"/>
                                            <w:bottom w:val="none" w:sz="0" w:space="0" w:color="auto"/>
                                            <w:right w:val="none" w:sz="0" w:space="0" w:color="auto"/>
                                          </w:divBdr>
                                          <w:divsChild>
                                            <w:div w:id="1125805710">
                                              <w:marLeft w:val="0"/>
                                              <w:marRight w:val="0"/>
                                              <w:marTop w:val="0"/>
                                              <w:marBottom w:val="0"/>
                                              <w:divBdr>
                                                <w:top w:val="none" w:sz="0" w:space="0" w:color="auto"/>
                                                <w:left w:val="none" w:sz="0" w:space="0" w:color="auto"/>
                                                <w:bottom w:val="none" w:sz="0" w:space="0" w:color="auto"/>
                                                <w:right w:val="none" w:sz="0" w:space="0" w:color="auto"/>
                                              </w:divBdr>
                                              <w:divsChild>
                                                <w:div w:id="1964841284">
                                                  <w:marLeft w:val="0"/>
                                                  <w:marRight w:val="0"/>
                                                  <w:marTop w:val="150"/>
                                                  <w:marBottom w:val="0"/>
                                                  <w:divBdr>
                                                    <w:top w:val="none" w:sz="0" w:space="0" w:color="auto"/>
                                                    <w:left w:val="none" w:sz="0" w:space="0" w:color="auto"/>
                                                    <w:bottom w:val="none" w:sz="0" w:space="0" w:color="auto"/>
                                                    <w:right w:val="none" w:sz="0" w:space="0" w:color="auto"/>
                                                  </w:divBdr>
                                                  <w:divsChild>
                                                    <w:div w:id="1478457475">
                                                      <w:marLeft w:val="0"/>
                                                      <w:marRight w:val="0"/>
                                                      <w:marTop w:val="0"/>
                                                      <w:marBottom w:val="0"/>
                                                      <w:divBdr>
                                                        <w:top w:val="none" w:sz="0" w:space="0" w:color="auto"/>
                                                        <w:left w:val="none" w:sz="0" w:space="0" w:color="auto"/>
                                                        <w:bottom w:val="none" w:sz="0" w:space="0" w:color="auto"/>
                                                        <w:right w:val="none" w:sz="0" w:space="0" w:color="auto"/>
                                                      </w:divBdr>
                                                    </w:div>
                                                    <w:div w:id="17025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bel.hathitrust.org/cgi/pt?id=inu.30000093208720&amp;view=1up&amp;seq=3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62450-827B-4BCC-8605-45E6112A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13745</Words>
  <Characters>78351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bread1179@outlook.com</dc:creator>
  <cp:keywords/>
  <dc:description/>
  <cp:lastModifiedBy>Alistair Ross</cp:lastModifiedBy>
  <cp:revision>2</cp:revision>
  <cp:lastPrinted>2020-02-09T09:43:00Z</cp:lastPrinted>
  <dcterms:created xsi:type="dcterms:W3CDTF">2021-09-30T17:21:00Z</dcterms:created>
  <dcterms:modified xsi:type="dcterms:W3CDTF">2021-09-30T17:21:00Z</dcterms:modified>
</cp:coreProperties>
</file>