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8C388" w14:textId="77777777" w:rsidR="000A7CFC" w:rsidRPr="000A7CFC" w:rsidRDefault="006A67EA" w:rsidP="000A7CFC">
      <w:pPr>
        <w:pStyle w:val="Authornames"/>
        <w:jc w:val="center"/>
        <w:rPr>
          <w:b/>
          <w:sz w:val="22"/>
          <w:szCs w:val="22"/>
        </w:rPr>
      </w:pPr>
      <w:r w:rsidRPr="000A7CFC">
        <w:rPr>
          <w:b/>
          <w:sz w:val="22"/>
          <w:szCs w:val="22"/>
        </w:rPr>
        <w:t>Festa della Chinea: Tradition and the ‘Exotic’ in Roman Festival Design</w:t>
      </w:r>
    </w:p>
    <w:p w14:paraId="7C9200A2" w14:textId="77777777" w:rsidR="000A7CFC" w:rsidRPr="000A7CFC" w:rsidRDefault="000A7CFC" w:rsidP="000A7CFC">
      <w:pPr>
        <w:pStyle w:val="Authornames"/>
        <w:jc w:val="center"/>
        <w:rPr>
          <w:b/>
          <w:sz w:val="22"/>
          <w:szCs w:val="22"/>
        </w:rPr>
      </w:pPr>
      <w:r w:rsidRPr="000A7CFC">
        <w:rPr>
          <w:b/>
          <w:sz w:val="22"/>
          <w:szCs w:val="22"/>
        </w:rPr>
        <w:t>Nicholas Temple</w:t>
      </w:r>
    </w:p>
    <w:p w14:paraId="082F4AF4" w14:textId="77777777" w:rsidR="00657AFE" w:rsidRPr="000A7CFC" w:rsidRDefault="00657AFE" w:rsidP="00657AFE">
      <w:pPr>
        <w:rPr>
          <w:rFonts w:ascii="Times New Roman" w:hAnsi="Times New Roman" w:cs="Times New Roman"/>
          <w:b/>
          <w:lang w:eastAsia="en-GB"/>
        </w:rPr>
      </w:pPr>
    </w:p>
    <w:p w14:paraId="195B2F1C" w14:textId="77777777" w:rsidR="000A7CFC" w:rsidRPr="000A7CFC" w:rsidRDefault="00913B16" w:rsidP="00657AFE">
      <w:pPr>
        <w:rPr>
          <w:rFonts w:ascii="Times New Roman" w:hAnsi="Times New Roman" w:cs="Times New Roman"/>
          <w:b/>
          <w:lang w:eastAsia="en-GB"/>
        </w:rPr>
      </w:pPr>
      <w:r>
        <w:rPr>
          <w:rFonts w:ascii="Times New Roman" w:hAnsi="Times New Roman" w:cs="Times New Roman"/>
          <w:b/>
          <w:lang w:eastAsia="en-GB"/>
        </w:rPr>
        <w:t>Outline</w:t>
      </w:r>
    </w:p>
    <w:p w14:paraId="5A2B0F0D" w14:textId="77777777" w:rsidR="00B17B24" w:rsidRPr="00B17B24" w:rsidRDefault="00657AFE" w:rsidP="00657AFE">
      <w:pPr>
        <w:pStyle w:val="Abstract"/>
      </w:pPr>
      <w:r>
        <w:t>The Festa della Chinea, which roughly translates as ‘Festival of the W</w:t>
      </w:r>
      <w:r w:rsidR="004F6701">
        <w:t>a</w:t>
      </w:r>
      <w:r>
        <w:t>ndering Nag’,</w:t>
      </w:r>
      <w:r w:rsidR="00396913">
        <w:t xml:space="preserve"> was</w:t>
      </w:r>
      <w:r w:rsidR="009909F1">
        <w:t xml:space="preserve"> a</w:t>
      </w:r>
      <w:r>
        <w:t xml:space="preserve"> historic festival held in Rome </w:t>
      </w:r>
      <w:r w:rsidR="00C133CC">
        <w:t>bi-annually</w:t>
      </w:r>
      <w:r>
        <w:t xml:space="preserve"> until the late 18th century</w:t>
      </w:r>
      <w:r w:rsidR="00906420">
        <w:t xml:space="preserve"> (1788)</w:t>
      </w:r>
      <w:r>
        <w:t>, in which the viceroy of the Kingdom of Naples was required to pay his homage to the pope. This entailed, among other things, the offering of a white horse (‘nag’) that formed part of a procession through the streets of Rome. The destination of the procession was the Basilica of St Peters, where the horse</w:t>
      </w:r>
      <w:r w:rsidR="007F2945">
        <w:t xml:space="preserve"> was traditionally allowed to </w:t>
      </w:r>
      <w:r w:rsidR="00B97C86">
        <w:t xml:space="preserve">roam </w:t>
      </w:r>
      <w:r>
        <w:t>within the basilica before finally being guided to the cathedra of the pontiff for a formal blessing. The peculiarity of this festival has never really been properly explained. By the early 18th century it gave rise to the most elaborate ephemeral constructions in the city, culminating in a huge firework display in the Piazza Farnese, the location of the embassy of the Bourbon Kingdom of Naples and Sicily from the late 17</w:t>
      </w:r>
      <w:r w:rsidRPr="00657AFE">
        <w:rPr>
          <w:vertAlign w:val="superscript"/>
        </w:rPr>
        <w:t>th</w:t>
      </w:r>
      <w:r>
        <w:t xml:space="preserve"> century. In this paper, I will examine the Festa della Chinea in the context of the tradition </w:t>
      </w:r>
      <w:r w:rsidR="00FA4845">
        <w:t xml:space="preserve">of festivals in Rome, </w:t>
      </w:r>
      <w:r>
        <w:t xml:space="preserve">tracing changes in the symbolic and ceremonial meanings of these extravagant events with specific focus on equine </w:t>
      </w:r>
      <w:r w:rsidR="00984E6F">
        <w:t xml:space="preserve">and water </w:t>
      </w:r>
      <w:r>
        <w:t xml:space="preserve">symbolism. As one of the oldest festivals in Rome, which was held annually over a period of about 600 years, the Festa della Chinea provides a rich source of material about how such events were celebrated and understood, both by the organisers and the spectators. </w:t>
      </w:r>
    </w:p>
    <w:p w14:paraId="40ED434F" w14:textId="77777777" w:rsidR="00B17B24" w:rsidRPr="00B17B24" w:rsidRDefault="006A67EA" w:rsidP="00B17B24">
      <w:pPr>
        <w:pStyle w:val="Keywords"/>
      </w:pPr>
      <w:r>
        <w:t xml:space="preserve">Key words: Roman festa, procession, equine symbolism, </w:t>
      </w:r>
      <w:r w:rsidR="00B97C86">
        <w:t xml:space="preserve">fluvial symbolism, </w:t>
      </w:r>
      <w:r>
        <w:t xml:space="preserve">papal homage, </w:t>
      </w:r>
      <w:r w:rsidRPr="002E53E1">
        <w:rPr>
          <w:i/>
        </w:rPr>
        <w:t>macchine</w:t>
      </w:r>
    </w:p>
    <w:p w14:paraId="693C0284" w14:textId="77777777" w:rsidR="000A7CFC" w:rsidRDefault="000A7CFC" w:rsidP="006A67EA">
      <w:pPr>
        <w:pStyle w:val="Paragraph"/>
        <w:rPr>
          <w:b/>
        </w:rPr>
      </w:pPr>
    </w:p>
    <w:p w14:paraId="3E397378" w14:textId="77777777" w:rsidR="00657AFE" w:rsidRDefault="00EB11F4" w:rsidP="006A67EA">
      <w:pPr>
        <w:pStyle w:val="Paragraph"/>
        <w:rPr>
          <w:b/>
        </w:rPr>
      </w:pPr>
      <w:r w:rsidRPr="00075074">
        <w:rPr>
          <w:b/>
        </w:rPr>
        <w:t>Introduction</w:t>
      </w:r>
    </w:p>
    <w:p w14:paraId="3D0FA38D" w14:textId="77777777" w:rsidR="00003D42" w:rsidRDefault="00897AAB" w:rsidP="00BD2138">
      <w:pPr>
        <w:pStyle w:val="Newparagraph"/>
      </w:pPr>
      <w:r>
        <w:t xml:space="preserve">The development of festival events in </w:t>
      </w:r>
      <w:r w:rsidR="00D87A9A">
        <w:t xml:space="preserve">early modern </w:t>
      </w:r>
      <w:r>
        <w:t>Rome has a long and complex history</w:t>
      </w:r>
      <w:r w:rsidR="00987815">
        <w:t>,</w:t>
      </w:r>
      <w:r>
        <w:t xml:space="preserve"> </w:t>
      </w:r>
      <w:r w:rsidR="00E33A5A">
        <w:t xml:space="preserve">whose influences </w:t>
      </w:r>
      <w:r w:rsidR="00657AFE">
        <w:t>can be traced back to an</w:t>
      </w:r>
      <w:r w:rsidR="00D87A9A">
        <w:t>tiquity.</w:t>
      </w:r>
      <w:r>
        <w:t xml:space="preserve"> Understanding the meaning and significance of the Festa della Chinea - probably the longest continuously running festival in Rome</w:t>
      </w:r>
      <w:r w:rsidR="00C133CC">
        <w:t xml:space="preserve"> held on 28</w:t>
      </w:r>
      <w:r w:rsidR="00C133CC" w:rsidRPr="00C133CC">
        <w:rPr>
          <w:vertAlign w:val="superscript"/>
        </w:rPr>
        <w:t>th</w:t>
      </w:r>
      <w:r w:rsidR="00C133CC">
        <w:t xml:space="preserve"> June and 8</w:t>
      </w:r>
      <w:r w:rsidR="00C133CC" w:rsidRPr="00C133CC">
        <w:rPr>
          <w:vertAlign w:val="superscript"/>
        </w:rPr>
        <w:t>th</w:t>
      </w:r>
      <w:r w:rsidR="00C133CC">
        <w:t xml:space="preserve"> September</w:t>
      </w:r>
      <w:r>
        <w:t xml:space="preserve"> - is best appreciated in the context of this </w:t>
      </w:r>
      <w:r>
        <w:lastRenderedPageBreak/>
        <w:t>historical background</w:t>
      </w:r>
      <w:r w:rsidR="00C133CC">
        <w:t xml:space="preserve"> as it relates to equine symbolism</w:t>
      </w:r>
      <w:r w:rsidR="00657AFE">
        <w:t>,</w:t>
      </w:r>
      <w:r>
        <w:t xml:space="preserve"> and the various meanings attributed to the term festa. Derived from the Latin words </w:t>
      </w:r>
      <w:r w:rsidR="00657AFE">
        <w:t>‘</w:t>
      </w:r>
      <w:r>
        <w:t>festus</w:t>
      </w:r>
      <w:r w:rsidR="00657AFE">
        <w:t>’</w:t>
      </w:r>
      <w:r>
        <w:t xml:space="preserve"> or </w:t>
      </w:r>
      <w:r w:rsidR="00657AFE">
        <w:t>‘</w:t>
      </w:r>
      <w:r>
        <w:t>festum</w:t>
      </w:r>
      <w:r w:rsidR="00657AFE">
        <w:t>’</w:t>
      </w:r>
      <w:r>
        <w:t xml:space="preserve"> (meaning feast day in memory of a p</w:t>
      </w:r>
      <w:r w:rsidR="00D87A9A">
        <w:t>articular saint, hero or event) -</w:t>
      </w:r>
      <w:r>
        <w:t xml:space="preserve"> also closely connected to the ancient tradition of </w:t>
      </w:r>
      <w:r w:rsidRPr="00377D12">
        <w:rPr>
          <w:i/>
        </w:rPr>
        <w:t>feriae</w:t>
      </w:r>
      <w:r>
        <w:t xml:space="preserve"> (holid</w:t>
      </w:r>
      <w:r w:rsidR="00D87A9A">
        <w:t>ays) -</w:t>
      </w:r>
      <w:r>
        <w:t xml:space="preserve"> the Roman festa entailed processions and commemorative acts, whether annual/cyclic or one-off events.</w:t>
      </w:r>
      <w:r w:rsidR="00003D42">
        <w:t xml:space="preserve"> </w:t>
      </w:r>
      <w:r w:rsidR="0048493A">
        <w:t>Alessandro Falassi</w:t>
      </w:r>
      <w:r w:rsidR="00352C17">
        <w:t xml:space="preserve"> </w:t>
      </w:r>
      <w:r w:rsidR="00F76031">
        <w:t>explains the more complex meanings of the term:</w:t>
      </w:r>
    </w:p>
    <w:p w14:paraId="1C0233B6" w14:textId="77777777" w:rsidR="00865F48" w:rsidRDefault="00865F48" w:rsidP="00BD2138">
      <w:pPr>
        <w:pStyle w:val="Newparagraph"/>
      </w:pPr>
    </w:p>
    <w:p w14:paraId="1B869EA4" w14:textId="77777777" w:rsidR="00BD2138" w:rsidRDefault="00003D42" w:rsidP="00BD2138">
      <w:pPr>
        <w:pStyle w:val="Newparagraph"/>
      </w:pPr>
      <w:r>
        <w:t>“</w:t>
      </w:r>
      <w:r w:rsidR="00BD2138">
        <w:t xml:space="preserve">Etymologically the term </w:t>
      </w:r>
      <w:r w:rsidR="00BD2138" w:rsidRPr="0048493A">
        <w:rPr>
          <w:i/>
        </w:rPr>
        <w:t>festival</w:t>
      </w:r>
      <w:r w:rsidR="00BD2138">
        <w:t xml:space="preserve"> derives ultimately from the Latin </w:t>
      </w:r>
      <w:r w:rsidR="00BD2138" w:rsidRPr="00BD2138">
        <w:rPr>
          <w:i/>
        </w:rPr>
        <w:t>festum</w:t>
      </w:r>
      <w:r w:rsidR="00BD2138">
        <w:t>. But</w:t>
      </w:r>
    </w:p>
    <w:p w14:paraId="1680C509" w14:textId="77777777" w:rsidR="00BD2138" w:rsidRDefault="0028544F" w:rsidP="0028544F">
      <w:pPr>
        <w:pStyle w:val="Newparagraph"/>
        <w:ind w:firstLine="0"/>
      </w:pPr>
      <w:r>
        <w:t>o</w:t>
      </w:r>
      <w:r w:rsidR="00BD2138">
        <w:t xml:space="preserve">riginally Latin had two terms for festive events: </w:t>
      </w:r>
      <w:r w:rsidR="00BD2138" w:rsidRPr="00BD2138">
        <w:rPr>
          <w:i/>
        </w:rPr>
        <w:t>festum</w:t>
      </w:r>
      <w:r w:rsidR="00BD2138">
        <w:t>, for “public joy, merriment, revelry</w:t>
      </w:r>
      <w:r>
        <w:t>,</w:t>
      </w:r>
      <w:r w:rsidR="00BD2138">
        <w:t xml:space="preserve">” </w:t>
      </w:r>
      <w:r>
        <w:t xml:space="preserve">and </w:t>
      </w:r>
      <w:r w:rsidRPr="0028544F">
        <w:rPr>
          <w:i/>
        </w:rPr>
        <w:t>feria</w:t>
      </w:r>
      <w:r w:rsidR="00BD2138">
        <w:t>, meaning</w:t>
      </w:r>
      <w:r>
        <w:t xml:space="preserve"> “</w:t>
      </w:r>
      <w:r w:rsidR="00BD2138">
        <w:t>abstinence from work in honor of t</w:t>
      </w:r>
      <w:r>
        <w:t>he gods.”</w:t>
      </w:r>
      <w:r w:rsidR="00BD2138">
        <w:t xml:space="preserve"> Both terms </w:t>
      </w:r>
      <w:r>
        <w:t>were used in the plural</w:t>
      </w:r>
      <w:r w:rsidR="00BD2138">
        <w:t xml:space="preserve">, </w:t>
      </w:r>
      <w:r w:rsidR="00BD2138" w:rsidRPr="0028544F">
        <w:rPr>
          <w:i/>
        </w:rPr>
        <w:t>festa</w:t>
      </w:r>
      <w:r w:rsidR="00BD2138">
        <w:t xml:space="preserve"> and </w:t>
      </w:r>
      <w:r w:rsidR="00BD2138" w:rsidRPr="0028544F">
        <w:rPr>
          <w:i/>
        </w:rPr>
        <w:t>feriae</w:t>
      </w:r>
      <w:r w:rsidR="00BD2138">
        <w:t>, which indicates that at that time festivals</w:t>
      </w:r>
      <w:r>
        <w:t xml:space="preserve"> already</w:t>
      </w:r>
      <w:r w:rsidR="00BD2138">
        <w:t xml:space="preserve"> lasted many days and included many eve</w:t>
      </w:r>
      <w:r>
        <w:t>nts</w:t>
      </w:r>
      <w:r w:rsidR="00BD2138">
        <w:t xml:space="preserve">. In classical Latin, the two terms </w:t>
      </w:r>
      <w:r>
        <w:t>tended to become</w:t>
      </w:r>
      <w:r w:rsidR="00BD2138">
        <w:t xml:space="preserve"> synonyms, as the two </w:t>
      </w:r>
      <w:r>
        <w:t xml:space="preserve">types of festivals tended </w:t>
      </w:r>
      <w:r w:rsidR="00BD2138">
        <w:t>to merge</w:t>
      </w:r>
      <w:r>
        <w:t>.”</w:t>
      </w:r>
      <w:r w:rsidR="004228EB">
        <w:rPr>
          <w:rStyle w:val="EndnoteReference"/>
        </w:rPr>
        <w:endnoteReference w:id="1"/>
      </w:r>
    </w:p>
    <w:p w14:paraId="65139A5F" w14:textId="77777777" w:rsidR="005376A9" w:rsidRDefault="005376A9" w:rsidP="0028544F">
      <w:pPr>
        <w:pStyle w:val="Newparagraph"/>
        <w:ind w:firstLine="0"/>
      </w:pPr>
    </w:p>
    <w:p w14:paraId="3C161FE1" w14:textId="77777777" w:rsidR="007A4867" w:rsidRDefault="0048493A" w:rsidP="0038734C">
      <w:pPr>
        <w:pStyle w:val="Newparagraph"/>
      </w:pPr>
      <w:r>
        <w:t>Hence, festiva</w:t>
      </w:r>
      <w:r w:rsidR="0038734C">
        <w:t>ls were</w:t>
      </w:r>
      <w:r w:rsidR="0014509A">
        <w:t xml:space="preserve"> historically</w:t>
      </w:r>
      <w:r w:rsidR="0038734C">
        <w:t xml:space="preserve"> </w:t>
      </w:r>
      <w:r w:rsidR="0014509A">
        <w:t xml:space="preserve">‘Janus faced’, </w:t>
      </w:r>
      <w:r>
        <w:t xml:space="preserve">characterised by two </w:t>
      </w:r>
      <w:r w:rsidR="00866836">
        <w:t>complementary</w:t>
      </w:r>
      <w:r>
        <w:t xml:space="preserve"> </w:t>
      </w:r>
      <w:r w:rsidR="00F76031">
        <w:t>associations</w:t>
      </w:r>
      <w:r>
        <w:t>: one stern and serious</w:t>
      </w:r>
      <w:r w:rsidR="00C05A70">
        <w:t>,</w:t>
      </w:r>
      <w:r>
        <w:t xml:space="preserve"> reflecting a state of reverence and </w:t>
      </w:r>
      <w:r w:rsidR="002553F6">
        <w:t>self-restraint</w:t>
      </w:r>
      <w:r>
        <w:t>, and the other light-hearted and jovial that encourage</w:t>
      </w:r>
      <w:r w:rsidR="00F76031">
        <w:t>s</w:t>
      </w:r>
      <w:r>
        <w:t xml:space="preserve"> public</w:t>
      </w:r>
      <w:r w:rsidR="00866836">
        <w:t xml:space="preserve"> indulgence and exces</w:t>
      </w:r>
      <w:r w:rsidR="0038734C">
        <w:t>s</w:t>
      </w:r>
      <w:r w:rsidR="00B96211">
        <w:t>ive behaviour</w:t>
      </w:r>
      <w:r w:rsidR="0038734C">
        <w:t>.</w:t>
      </w:r>
      <w:r w:rsidR="00C05A70">
        <w:rPr>
          <w:rStyle w:val="EndnoteReference"/>
        </w:rPr>
        <w:endnoteReference w:id="2"/>
      </w:r>
      <w:r w:rsidR="0038734C">
        <w:t xml:space="preserve"> </w:t>
      </w:r>
      <w:r w:rsidR="00C05A70">
        <w:t>Festive p</w:t>
      </w:r>
      <w:r w:rsidR="00CD4AD5">
        <w:t>rocession</w:t>
      </w:r>
      <w:r w:rsidR="00C05A70">
        <w:t>s</w:t>
      </w:r>
      <w:r w:rsidR="0038734C">
        <w:t xml:space="preserve"> </w:t>
      </w:r>
      <w:r w:rsidR="00897AAB">
        <w:t>involved the whole city (its urban topography and its citizens), by momentarily suspending the everyday activities of urban life to create an auspicious occasion for collective participation. This typically required the fabrication of ephemeral architectural constructs and or</w:t>
      </w:r>
      <w:r w:rsidR="00E33A5A">
        <w:t>namental elements that embellished</w:t>
      </w:r>
      <w:r w:rsidR="00897AAB">
        <w:t xml:space="preserve"> the urban fabric of the city, transfo</w:t>
      </w:r>
      <w:r w:rsidR="00E33A5A">
        <w:t>rming it into a veritable stage-</w:t>
      </w:r>
      <w:r w:rsidR="00897AAB">
        <w:t xml:space="preserve">set for the main ceremonial procession which usually traversed the city (or parts of it), passing through key public spaces and culminating in a major </w:t>
      </w:r>
      <w:r w:rsidR="00E33A5A">
        <w:t xml:space="preserve">ceremonial/ritual </w:t>
      </w:r>
      <w:r w:rsidR="00897AAB">
        <w:t xml:space="preserve">event. </w:t>
      </w:r>
    </w:p>
    <w:p w14:paraId="37D1CDC2" w14:textId="77777777" w:rsidR="004D2A50" w:rsidRPr="008448BF" w:rsidRDefault="007A4867" w:rsidP="008448BF">
      <w:pPr>
        <w:pStyle w:val="Newparagraph"/>
        <w:rPr>
          <w:color w:val="FF0000"/>
        </w:rPr>
      </w:pPr>
      <w:r>
        <w:t xml:space="preserve">Perhaps the most celebrated festival </w:t>
      </w:r>
      <w:r w:rsidR="008B6A8C">
        <w:t xml:space="preserve">event </w:t>
      </w:r>
      <w:r>
        <w:t xml:space="preserve">in </w:t>
      </w:r>
      <w:r w:rsidR="00185153">
        <w:t xml:space="preserve">the </w:t>
      </w:r>
      <w:r>
        <w:t>ancient Rom</w:t>
      </w:r>
      <w:r w:rsidR="00185153">
        <w:t>an calendar</w:t>
      </w:r>
      <w:r>
        <w:t xml:space="preserve">, </w:t>
      </w:r>
      <w:r w:rsidR="002D4217">
        <w:t xml:space="preserve">whose themes and ritual practices can be traced </w:t>
      </w:r>
      <w:r w:rsidR="0011699B">
        <w:t>to</w:t>
      </w:r>
      <w:r w:rsidR="002D4217">
        <w:t xml:space="preserve"> </w:t>
      </w:r>
      <w:r w:rsidR="0011699B">
        <w:t>later</w:t>
      </w:r>
      <w:r w:rsidR="002D4217">
        <w:t xml:space="preserve"> medieval and early modern </w:t>
      </w:r>
      <w:r>
        <w:t xml:space="preserve">events, was the </w:t>
      </w:r>
      <w:r w:rsidRPr="007A4867">
        <w:t>feast of Saturnalia</w:t>
      </w:r>
      <w:r w:rsidR="002D4217">
        <w:t xml:space="preserve"> (December 17 of the Julian Calendar)</w:t>
      </w:r>
      <w:r w:rsidR="00BE3A78">
        <w:t>.</w:t>
      </w:r>
      <w:r w:rsidR="000A7CFC">
        <w:rPr>
          <w:rStyle w:val="EndnoteReference"/>
        </w:rPr>
        <w:endnoteReference w:id="3"/>
      </w:r>
      <w:r w:rsidR="00BE3A78">
        <w:t xml:space="preserve"> </w:t>
      </w:r>
      <w:r w:rsidR="002D4217" w:rsidRPr="004D2A50">
        <w:t xml:space="preserve">Noted for its </w:t>
      </w:r>
      <w:r w:rsidR="002D4217">
        <w:t>popularity across all</w:t>
      </w:r>
      <w:r w:rsidR="004D2A50">
        <w:t xml:space="preserve"> </w:t>
      </w:r>
      <w:r w:rsidR="008448BF">
        <w:t xml:space="preserve">spectrums </w:t>
      </w:r>
      <w:r w:rsidR="004D2A50">
        <w:t xml:space="preserve">of </w:t>
      </w:r>
      <w:r w:rsidR="00567A8E">
        <w:t xml:space="preserve">Roman </w:t>
      </w:r>
      <w:r w:rsidR="004D2A50">
        <w:t>society</w:t>
      </w:r>
      <w:bookmarkStart w:id="1" w:name="_Hlk504386116"/>
      <w:r w:rsidR="002D4217">
        <w:t xml:space="preserve">, the </w:t>
      </w:r>
      <w:r w:rsidR="00897AAB">
        <w:t xml:space="preserve">Saturnalia </w:t>
      </w:r>
      <w:bookmarkEnd w:id="1"/>
      <w:r w:rsidR="002D4217">
        <w:t xml:space="preserve">annually </w:t>
      </w:r>
      <w:r w:rsidR="00897AAB">
        <w:t xml:space="preserve">celebrated the archaic Roman god Saturn, and commemorated the winter sowing season, serving as a pagan predecessor to Christmas. A key feature of the </w:t>
      </w:r>
      <w:r w:rsidR="002D4217">
        <w:t>feast</w:t>
      </w:r>
      <w:r w:rsidR="00897AAB">
        <w:t xml:space="preserve"> was public indulgence</w:t>
      </w:r>
      <w:r w:rsidR="00D87A9A">
        <w:t xml:space="preserve"> </w:t>
      </w:r>
      <w:r w:rsidR="00A418DA">
        <w:t>through various</w:t>
      </w:r>
      <w:r w:rsidR="00D87A9A">
        <w:t xml:space="preserve"> hedonistic pursuits</w:t>
      </w:r>
      <w:r w:rsidR="00897AAB">
        <w:t xml:space="preserve"> and wild revelry (later ref</w:t>
      </w:r>
      <w:r w:rsidR="00D87A9A">
        <w:t>ashioned into</w:t>
      </w:r>
      <w:r w:rsidR="00897AAB">
        <w:t xml:space="preserve"> the more familiar ‘Martedi Grasso’ – or Shrove Tuesday in th</w:t>
      </w:r>
      <w:r w:rsidR="00396913">
        <w:t xml:space="preserve">e Christian calendar). The </w:t>
      </w:r>
      <w:r w:rsidR="00396913" w:rsidRPr="00396913">
        <w:t>Saturnalia</w:t>
      </w:r>
      <w:r w:rsidR="00897AAB">
        <w:t xml:space="preserve"> </w:t>
      </w:r>
      <w:r w:rsidR="00396913">
        <w:t xml:space="preserve">was </w:t>
      </w:r>
      <w:r w:rsidR="00897AAB">
        <w:t>an opportunity to relax authority and even invert the social/political structures by allowing slaves to be give</w:t>
      </w:r>
      <w:r w:rsidR="00657AFE">
        <w:t xml:space="preserve">n temporary freedom and </w:t>
      </w:r>
      <w:r w:rsidR="00897AAB">
        <w:t>parade as important Roman citizens</w:t>
      </w:r>
      <w:r w:rsidR="00A11C75">
        <w:t>.</w:t>
      </w:r>
      <w:r w:rsidR="00A11C75">
        <w:rPr>
          <w:rStyle w:val="EndnoteReference"/>
        </w:rPr>
        <w:endnoteReference w:id="4"/>
      </w:r>
      <w:r w:rsidR="00EB4CC8">
        <w:t xml:space="preserve"> </w:t>
      </w:r>
      <w:r w:rsidR="002D4217">
        <w:t xml:space="preserve">As </w:t>
      </w:r>
      <w:r w:rsidR="001D49D5" w:rsidRPr="001D49D5">
        <w:t xml:space="preserve">Henk Versnel </w:t>
      </w:r>
      <w:r w:rsidR="002D4217">
        <w:t>states</w:t>
      </w:r>
      <w:r w:rsidR="00676A01">
        <w:t>:</w:t>
      </w:r>
    </w:p>
    <w:p w14:paraId="06CF6F36" w14:textId="77777777" w:rsidR="00F608C5" w:rsidRPr="002D4217" w:rsidRDefault="00F608C5" w:rsidP="002D4217">
      <w:pPr>
        <w:pStyle w:val="Newparagraph"/>
        <w:ind w:firstLine="0"/>
        <w:rPr>
          <w:color w:val="FF0000"/>
        </w:rPr>
      </w:pPr>
      <w:r>
        <w:t xml:space="preserve"> </w:t>
      </w:r>
    </w:p>
    <w:p w14:paraId="5EEA1506" w14:textId="77777777" w:rsidR="00F608C5" w:rsidRDefault="001D49D5" w:rsidP="00F608C5">
      <w:pPr>
        <w:pStyle w:val="Newparagraph"/>
      </w:pPr>
      <w:r w:rsidRPr="001D49D5">
        <w:t xml:space="preserve">“Gambling and dice-playing, normally prohibited or at least frowned upon, were permitted for all, ’even slaves’. Coins and nuts were the stakes. On the Calendar of Philocalus, the Saturnalia is represented by a man wearing a fur-trimmed coat next to a table with dice, and a caption reading: “Now you have license, slave, to game with your master.” Rampant overeating and drunkenness became the rule, and </w:t>
      </w:r>
      <w:r w:rsidR="00003206">
        <w:t>a sober person the exception.”</w:t>
      </w:r>
      <w:r w:rsidR="00D178DC">
        <w:rPr>
          <w:rStyle w:val="EndnoteReference"/>
        </w:rPr>
        <w:endnoteReference w:id="5"/>
      </w:r>
      <w:r w:rsidR="00676A01">
        <w:t xml:space="preserve"> </w:t>
      </w:r>
    </w:p>
    <w:p w14:paraId="5535800A" w14:textId="77777777" w:rsidR="00567A8E" w:rsidRDefault="00567A8E" w:rsidP="00F608C5">
      <w:pPr>
        <w:pStyle w:val="Newparagraph"/>
        <w:rPr>
          <w:color w:val="FF0000"/>
        </w:rPr>
      </w:pPr>
    </w:p>
    <w:p w14:paraId="007DD8F4" w14:textId="77777777" w:rsidR="004D2A50" w:rsidRDefault="004D2A50" w:rsidP="00F608C5">
      <w:pPr>
        <w:pStyle w:val="Newparagraph"/>
      </w:pPr>
      <w:r>
        <w:t>T</w:t>
      </w:r>
      <w:r w:rsidR="00003206">
        <w:t xml:space="preserve">he main spectacle of the Saturnalia was </w:t>
      </w:r>
      <w:r>
        <w:t xml:space="preserve">probably </w:t>
      </w:r>
      <w:r w:rsidR="00897AAB">
        <w:t>the procession of a mock king (</w:t>
      </w:r>
      <w:r w:rsidR="00897AAB" w:rsidRPr="00715AE6">
        <w:rPr>
          <w:i/>
        </w:rPr>
        <w:t>Saturnalicius princeps</w:t>
      </w:r>
      <w:r w:rsidR="00897AAB">
        <w:t>) through the streets of the city</w:t>
      </w:r>
      <w:r w:rsidR="006F5712">
        <w:t xml:space="preserve"> that became the basis of many modern satirical reconstructi</w:t>
      </w:r>
      <w:r w:rsidR="00F608C5">
        <w:t xml:space="preserve">ons. </w:t>
      </w:r>
      <w:r w:rsidR="00D87A9A">
        <w:t>Many of the key features of the Saturnalia</w:t>
      </w:r>
      <w:r w:rsidR="003C08F5">
        <w:t>, such as</w:t>
      </w:r>
      <w:r w:rsidR="00A12822">
        <w:t xml:space="preserve"> </w:t>
      </w:r>
      <w:r w:rsidR="003C08F5">
        <w:t>masquerading</w:t>
      </w:r>
      <w:r w:rsidR="00A12822">
        <w:t xml:space="preserve"> </w:t>
      </w:r>
      <w:r w:rsidR="00FD6C89">
        <w:t>and exchang</w:t>
      </w:r>
      <w:r w:rsidR="00F608C5">
        <w:t>ing</w:t>
      </w:r>
      <w:r w:rsidR="00FD6C89">
        <w:t xml:space="preserve"> gifts</w:t>
      </w:r>
      <w:r w:rsidR="003C08F5">
        <w:t xml:space="preserve">, </w:t>
      </w:r>
      <w:r w:rsidR="00D87A9A">
        <w:t>pervade</w:t>
      </w:r>
      <w:r w:rsidR="00003206">
        <w:t>d</w:t>
      </w:r>
      <w:r w:rsidR="00D87A9A">
        <w:t xml:space="preserve"> </w:t>
      </w:r>
      <w:r w:rsidR="00897AAB">
        <w:t>later Roman festivals inclu</w:t>
      </w:r>
      <w:r w:rsidR="00657AFE">
        <w:t>ding the Festa della Chinea, where the more solemn</w:t>
      </w:r>
      <w:r w:rsidR="00897AAB">
        <w:t xml:space="preserve"> and orderly </w:t>
      </w:r>
      <w:r w:rsidR="00D87A9A">
        <w:t xml:space="preserve">aspect of ceremony </w:t>
      </w:r>
      <w:r w:rsidR="00A12822">
        <w:t>was</w:t>
      </w:r>
      <w:r w:rsidR="00D87A9A">
        <w:t xml:space="preserve"> </w:t>
      </w:r>
      <w:r w:rsidR="00A418DA">
        <w:t>accompanied</w:t>
      </w:r>
      <w:r w:rsidR="00D87A9A">
        <w:t xml:space="preserve"> by</w:t>
      </w:r>
      <w:r w:rsidR="00396913">
        <w:t xml:space="preserve"> public merrymaking</w:t>
      </w:r>
      <w:r w:rsidR="0078089F">
        <w:t>. As will become clearer later, this</w:t>
      </w:r>
      <w:r w:rsidR="00003206">
        <w:t xml:space="preserve"> </w:t>
      </w:r>
      <w:r w:rsidR="00800D26">
        <w:t>aspect</w:t>
      </w:r>
      <w:r w:rsidR="00003206">
        <w:t xml:space="preserve"> </w:t>
      </w:r>
      <w:r w:rsidR="0078089F">
        <w:t>of the festival</w:t>
      </w:r>
      <w:r w:rsidR="00003206">
        <w:t xml:space="preserve"> w</w:t>
      </w:r>
      <w:r w:rsidR="00A418DA">
        <w:t>as</w:t>
      </w:r>
      <w:r w:rsidR="001D49D5">
        <w:t xml:space="preserve"> to</w:t>
      </w:r>
      <w:r w:rsidR="006F5712">
        <w:t xml:space="preserve"> become more dominant </w:t>
      </w:r>
      <w:r w:rsidR="00D70041">
        <w:t>and conspicuous</w:t>
      </w:r>
      <w:r w:rsidR="00F05199">
        <w:t>,</w:t>
      </w:r>
      <w:r w:rsidR="000D628B">
        <w:t xml:space="preserve"> </w:t>
      </w:r>
      <w:r w:rsidR="006F5712">
        <w:t>as the religious associations of the procession gradually declined</w:t>
      </w:r>
      <w:r w:rsidR="00D70041">
        <w:t xml:space="preserve"> in the late 17</w:t>
      </w:r>
      <w:r w:rsidR="00D70041" w:rsidRPr="00D70041">
        <w:rPr>
          <w:vertAlign w:val="superscript"/>
        </w:rPr>
        <w:t>th</w:t>
      </w:r>
      <w:r w:rsidR="00D70041">
        <w:t xml:space="preserve"> and 18</w:t>
      </w:r>
      <w:r w:rsidR="00D70041" w:rsidRPr="00D70041">
        <w:rPr>
          <w:vertAlign w:val="superscript"/>
        </w:rPr>
        <w:t>th</w:t>
      </w:r>
      <w:r w:rsidR="00D70041">
        <w:t xml:space="preserve"> centuries</w:t>
      </w:r>
      <w:r w:rsidR="00657AFE">
        <w:t xml:space="preserve">. </w:t>
      </w:r>
    </w:p>
    <w:p w14:paraId="76F8A988" w14:textId="77777777" w:rsidR="0049007A" w:rsidRDefault="0049007A" w:rsidP="0049007A">
      <w:pPr>
        <w:pStyle w:val="Newparagraph"/>
        <w:ind w:firstLine="0"/>
      </w:pPr>
    </w:p>
    <w:p w14:paraId="3C8CBCA5" w14:textId="77777777" w:rsidR="0049007A" w:rsidRPr="0049007A" w:rsidRDefault="0049007A" w:rsidP="0049007A">
      <w:pPr>
        <w:pStyle w:val="Newparagraph"/>
        <w:ind w:firstLine="0"/>
        <w:rPr>
          <w:b/>
        </w:rPr>
      </w:pPr>
      <w:r w:rsidRPr="0049007A">
        <w:rPr>
          <w:b/>
        </w:rPr>
        <w:t>The White Chinea</w:t>
      </w:r>
      <w:r>
        <w:rPr>
          <w:b/>
        </w:rPr>
        <w:t xml:space="preserve"> and Equine Symbolism</w:t>
      </w:r>
    </w:p>
    <w:p w14:paraId="7E2DDD14" w14:textId="77777777" w:rsidR="00EA2B80" w:rsidRPr="00F608C5" w:rsidRDefault="00657AFE" w:rsidP="00F608C5">
      <w:pPr>
        <w:pStyle w:val="Newparagraph"/>
        <w:rPr>
          <w:color w:val="FF0000"/>
        </w:rPr>
      </w:pPr>
      <w:r>
        <w:t xml:space="preserve">Of the many </w:t>
      </w:r>
      <w:r w:rsidR="00F05199">
        <w:t>features</w:t>
      </w:r>
      <w:r w:rsidR="00897AAB">
        <w:t xml:space="preserve"> of the Chinea</w:t>
      </w:r>
      <w:r w:rsidR="00D87A9A">
        <w:t>,</w:t>
      </w:r>
      <w:r>
        <w:t xml:space="preserve"> the most important</w:t>
      </w:r>
      <w:r w:rsidR="00897AAB">
        <w:t xml:space="preserve"> </w:t>
      </w:r>
      <w:r w:rsidR="00D87A9A">
        <w:t>symbolically</w:t>
      </w:r>
      <w:r w:rsidR="003C08F5">
        <w:t xml:space="preserve"> (</w:t>
      </w:r>
      <w:r w:rsidR="00A12822">
        <w:t xml:space="preserve">and one which constituted the central </w:t>
      </w:r>
      <w:r w:rsidR="00F608C5">
        <w:t xml:space="preserve">act of </w:t>
      </w:r>
      <w:r w:rsidR="00A12822">
        <w:t>gift</w:t>
      </w:r>
      <w:r w:rsidR="00B054B2">
        <w:t>-</w:t>
      </w:r>
      <w:r w:rsidR="00F608C5">
        <w:t>making</w:t>
      </w:r>
      <w:r w:rsidR="00A12822">
        <w:t xml:space="preserve"> </w:t>
      </w:r>
      <w:r w:rsidR="00F608C5">
        <w:t>in</w:t>
      </w:r>
      <w:r w:rsidR="00A12822">
        <w:t xml:space="preserve"> the whole event) </w:t>
      </w:r>
      <w:r w:rsidR="00897AAB">
        <w:t>was the presence of a white horse, the ‘ambling</w:t>
      </w:r>
      <w:r>
        <w:t xml:space="preserve"> nag’ referred to earlier,</w:t>
      </w:r>
      <w:r w:rsidR="001D49D5">
        <w:t xml:space="preserve"> that served as a mascot</w:t>
      </w:r>
      <w:r w:rsidR="00003206">
        <w:t xml:space="preserve"> in the procession</w:t>
      </w:r>
      <w:r w:rsidR="006F5712">
        <w:t xml:space="preserve"> to St Peter’s Basilica</w:t>
      </w:r>
      <w:r w:rsidR="00897AAB">
        <w:t xml:space="preserve">. The </w:t>
      </w:r>
      <w:r w:rsidR="00D87A9A">
        <w:t>role of</w:t>
      </w:r>
      <w:r w:rsidR="00897AAB">
        <w:t xml:space="preserve"> animals in Roma</w:t>
      </w:r>
      <w:r w:rsidR="00E33A5A">
        <w:t>n festivals</w:t>
      </w:r>
      <w:r w:rsidR="00003206">
        <w:t xml:space="preserve"> formed</w:t>
      </w:r>
      <w:r>
        <w:t xml:space="preserve"> part of an ancient </w:t>
      </w:r>
      <w:r w:rsidR="00897AAB">
        <w:t>tradition that can be traced back t</w:t>
      </w:r>
      <w:r w:rsidR="00D87A9A">
        <w:t>o festival</w:t>
      </w:r>
      <w:r>
        <w:t xml:space="preserve"> practices in archaic Rome</w:t>
      </w:r>
      <w:r w:rsidR="00897AAB">
        <w:t xml:space="preserve">. Drawing upon often familiar mythological and historical models/antecedents, animals were intended to be read as </w:t>
      </w:r>
      <w:r w:rsidR="00D87A9A">
        <w:t>an integral</w:t>
      </w:r>
      <w:r w:rsidR="00E33A5A">
        <w:t xml:space="preserve"> part of the urban scenography,</w:t>
      </w:r>
      <w:r w:rsidR="00396913">
        <w:t xml:space="preserve"> carefully orchestrated</w:t>
      </w:r>
      <w:r w:rsidR="00BD509A">
        <w:t xml:space="preserve"> in the form of</w:t>
      </w:r>
      <w:r w:rsidR="00DF21D8">
        <w:t xml:space="preserve"> </w:t>
      </w:r>
      <w:r w:rsidR="0064191D">
        <w:t xml:space="preserve">a </w:t>
      </w:r>
      <w:r w:rsidR="0064191D" w:rsidRPr="0064191D">
        <w:rPr>
          <w:i/>
        </w:rPr>
        <w:t>tableau vivant</w:t>
      </w:r>
      <w:r w:rsidR="00A12822">
        <w:t xml:space="preserve"> inscribed </w:t>
      </w:r>
      <w:r w:rsidR="00F608C5">
        <w:t>up</w:t>
      </w:r>
      <w:r w:rsidR="00A12822">
        <w:t xml:space="preserve">on the </w:t>
      </w:r>
      <w:r w:rsidR="00A418DA">
        <w:t>fabric</w:t>
      </w:r>
      <w:r w:rsidR="00A12822">
        <w:t xml:space="preserve"> of </w:t>
      </w:r>
      <w:r w:rsidR="00934F3F">
        <w:t xml:space="preserve">the </w:t>
      </w:r>
      <w:r w:rsidR="00A12822">
        <w:t xml:space="preserve">street. </w:t>
      </w:r>
      <w:r w:rsidR="00897AAB">
        <w:t>The choice of animals moreover</w:t>
      </w:r>
      <w:r w:rsidR="00752518">
        <w:t xml:space="preserve"> </w:t>
      </w:r>
      <w:r w:rsidR="00897AAB">
        <w:t>for these events, and how they were dressed and paraded through the city, reveals much about the intended meanings and associations of the ceremonies. Perhaps the most celebrated occasion</w:t>
      </w:r>
      <w:r w:rsidR="00D87A9A">
        <w:t xml:space="preserve"> in Ancient Rome</w:t>
      </w:r>
      <w:r w:rsidR="00396913">
        <w:t>,</w:t>
      </w:r>
      <w:r w:rsidR="00D87A9A">
        <w:t xml:space="preserve"> in which horses</w:t>
      </w:r>
      <w:r w:rsidR="00897AAB">
        <w:t xml:space="preserve"> </w:t>
      </w:r>
      <w:r w:rsidR="00396913">
        <w:t>played a pivotal</w:t>
      </w:r>
      <w:r w:rsidR="00D87A9A">
        <w:t xml:space="preserve"> role in the spectacle</w:t>
      </w:r>
      <w:r w:rsidR="00396913">
        <w:t>,</w:t>
      </w:r>
      <w:r w:rsidR="00D87A9A">
        <w:t xml:space="preserve"> </w:t>
      </w:r>
      <w:r w:rsidR="00396913">
        <w:t>was the Roman triumph</w:t>
      </w:r>
      <w:r w:rsidR="00897AAB">
        <w:t xml:space="preserve"> when victor</w:t>
      </w:r>
      <w:r w:rsidR="00904AAD">
        <w:t xml:space="preserve">ious generals or emperors </w:t>
      </w:r>
      <w:r w:rsidR="00897AAB">
        <w:t xml:space="preserve">paraded as deities, heroes and other venerated figures following a military </w:t>
      </w:r>
      <w:r w:rsidR="00396913">
        <w:t>conquest.</w:t>
      </w:r>
      <w:r w:rsidR="00F608C5">
        <w:rPr>
          <w:rStyle w:val="EndnoteReference"/>
        </w:rPr>
        <w:endnoteReference w:id="6"/>
      </w:r>
      <w:r w:rsidR="0040375E">
        <w:t xml:space="preserve"> </w:t>
      </w:r>
    </w:p>
    <w:p w14:paraId="408751FC" w14:textId="77777777" w:rsidR="00934F3F" w:rsidRDefault="00934F3F" w:rsidP="005D6978">
      <w:pPr>
        <w:pStyle w:val="Newparagraph"/>
        <w:ind w:firstLine="0"/>
        <w:rPr>
          <w:b/>
        </w:rPr>
      </w:pPr>
      <w:r>
        <w:rPr>
          <w:noProof/>
        </w:rPr>
        <w:t xml:space="preserve">                           </w:t>
      </w:r>
    </w:p>
    <w:p w14:paraId="226104FE" w14:textId="77777777" w:rsidR="00934F3F" w:rsidRDefault="00602922" w:rsidP="00602922">
      <w:pPr>
        <w:pStyle w:val="Newparagraph"/>
        <w:ind w:firstLine="0"/>
        <w:jc w:val="center"/>
        <w:rPr>
          <w:b/>
        </w:rPr>
      </w:pPr>
      <w:r>
        <w:rPr>
          <w:noProof/>
        </w:rPr>
        <w:drawing>
          <wp:inline distT="0" distB="0" distL="0" distR="0" wp14:anchorId="76BB900E" wp14:editId="1492536A">
            <wp:extent cx="4062095" cy="3161030"/>
            <wp:effectExtent l="0" t="0" r="0" b="1270"/>
            <wp:docPr id="4" name="Picture 3">
              <a:extLst xmlns:a="http://schemas.openxmlformats.org/drawingml/2006/main">
                <a:ext uri="{FF2B5EF4-FFF2-40B4-BE49-F238E27FC236}">
                  <a16:creationId xmlns:a16="http://schemas.microsoft.com/office/drawing/2014/main" id="{7204F105-C290-453F-9E79-DDCBBAC205B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04F105-C290-453F-9E79-DDCBBAC205BB}"/>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095" cy="3161030"/>
                    </a:xfrm>
                    <a:prstGeom prst="rect">
                      <a:avLst/>
                    </a:prstGeom>
                    <a:noFill/>
                    <a:ln>
                      <a:noFill/>
                    </a:ln>
                  </pic:spPr>
                </pic:pic>
              </a:graphicData>
            </a:graphic>
          </wp:inline>
        </w:drawing>
      </w:r>
    </w:p>
    <w:p w14:paraId="7F0952F2" w14:textId="77777777" w:rsidR="00EA2B80" w:rsidRPr="005D6978" w:rsidRDefault="005D6978" w:rsidP="005D6978">
      <w:pPr>
        <w:pStyle w:val="Newparagraph"/>
        <w:ind w:firstLine="0"/>
        <w:rPr>
          <w:b/>
        </w:rPr>
      </w:pPr>
      <w:r w:rsidRPr="005D6978">
        <w:rPr>
          <w:b/>
        </w:rPr>
        <w:t>Figure 1</w:t>
      </w:r>
      <w:r w:rsidR="00BD509A">
        <w:rPr>
          <w:b/>
        </w:rPr>
        <w:t>:</w:t>
      </w:r>
      <w:r w:rsidR="002F34B0" w:rsidRPr="005D6978">
        <w:rPr>
          <w:b/>
        </w:rPr>
        <w:t xml:space="preserve"> Andrea </w:t>
      </w:r>
      <w:r w:rsidR="001D49D5" w:rsidRPr="005D6978">
        <w:rPr>
          <w:b/>
        </w:rPr>
        <w:t>Mantegna</w:t>
      </w:r>
      <w:r w:rsidR="002F34B0" w:rsidRPr="005D6978">
        <w:rPr>
          <w:b/>
        </w:rPr>
        <w:t xml:space="preserve"> (1431-1506), </w:t>
      </w:r>
      <w:r w:rsidR="002F34B0" w:rsidRPr="005D6978">
        <w:rPr>
          <w:b/>
          <w:i/>
        </w:rPr>
        <w:t>Triumphs of Caesar</w:t>
      </w:r>
      <w:r w:rsidR="002F34B0" w:rsidRPr="005D6978">
        <w:rPr>
          <w:b/>
        </w:rPr>
        <w:t xml:space="preserve"> (c.1486-94), </w:t>
      </w:r>
      <w:r w:rsidR="002117A8" w:rsidRPr="002117A8">
        <w:rPr>
          <w:b/>
        </w:rPr>
        <w:t>Bearers of Standards</w:t>
      </w:r>
      <w:r w:rsidR="002117A8">
        <w:rPr>
          <w:b/>
        </w:rPr>
        <w:t xml:space="preserve">, </w:t>
      </w:r>
      <w:r w:rsidRPr="005D6978">
        <w:rPr>
          <w:b/>
        </w:rPr>
        <w:t xml:space="preserve">Courtesy of </w:t>
      </w:r>
      <w:r w:rsidR="002F34B0" w:rsidRPr="005D6978">
        <w:rPr>
          <w:b/>
        </w:rPr>
        <w:t>Hampton Court, London</w:t>
      </w:r>
      <w:r w:rsidR="00CA39FF">
        <w:rPr>
          <w:b/>
        </w:rPr>
        <w:t>.</w:t>
      </w:r>
    </w:p>
    <w:p w14:paraId="23C0037B" w14:textId="77777777" w:rsidR="005D6978" w:rsidRDefault="005D6978" w:rsidP="00657AFE">
      <w:pPr>
        <w:pStyle w:val="Newparagraph"/>
      </w:pPr>
    </w:p>
    <w:p w14:paraId="18523903" w14:textId="77777777" w:rsidR="00897AAB" w:rsidRPr="005D6978" w:rsidRDefault="00396913" w:rsidP="005D6978">
      <w:pPr>
        <w:pStyle w:val="Newparagraph"/>
        <w:rPr>
          <w:color w:val="FF0000"/>
        </w:rPr>
      </w:pPr>
      <w:r w:rsidRPr="003601B6">
        <w:t>We see this conveyed</w:t>
      </w:r>
      <w:r w:rsidR="00897AAB" w:rsidRPr="003601B6">
        <w:t xml:space="preserve"> for example in Livy’s phrase </w:t>
      </w:r>
      <w:r w:rsidR="00897AAB" w:rsidRPr="003601B6">
        <w:rPr>
          <w:i/>
        </w:rPr>
        <w:t>ornatus Iovis</w:t>
      </w:r>
      <w:r w:rsidR="00897AAB" w:rsidRPr="003601B6">
        <w:t xml:space="preserve"> (‘host Jupiter’) in which a costume commemorating the presence of the divine Jupiter was adopted for the imperial procession</w:t>
      </w:r>
      <w:r w:rsidR="0040375E" w:rsidRPr="003601B6">
        <w:t xml:space="preserve">. This </w:t>
      </w:r>
      <w:r w:rsidR="0040375E">
        <w:t>entailed</w:t>
      </w:r>
      <w:r w:rsidR="00897AAB">
        <w:t xml:space="preserve"> the victor riding a chariot drawn by white horses which Mary Beard </w:t>
      </w:r>
      <w:r w:rsidR="0040375E">
        <w:t xml:space="preserve">appropriately </w:t>
      </w:r>
      <w:r w:rsidR="00897AAB">
        <w:t>calls the ceremony’s “standard repertoire”</w:t>
      </w:r>
      <w:r w:rsidR="002F48CB">
        <w:t>.</w:t>
      </w:r>
      <w:r w:rsidR="002F48CB">
        <w:rPr>
          <w:rStyle w:val="EndnoteReference"/>
        </w:rPr>
        <w:endnoteReference w:id="7"/>
      </w:r>
      <w:r w:rsidR="00897AAB">
        <w:t xml:space="preserve"> The pagan practice of horse-drawn chariots, with their Apollonian or solar symbolism, became the model for subsequent processional floats (or </w:t>
      </w:r>
      <w:r w:rsidR="00897AAB" w:rsidRPr="00223809">
        <w:rPr>
          <w:i/>
        </w:rPr>
        <w:t>carri</w:t>
      </w:r>
      <w:r w:rsidR="00897AAB">
        <w:t>) from the Renaissance onwards, as we see for example in representations of triumphal processions under pope Paul III (1534-1549), such as the famous reconstruction</w:t>
      </w:r>
      <w:r w:rsidR="008A26ED">
        <w:t xml:space="preserve"> of the Triumph of </w:t>
      </w:r>
      <w:bookmarkStart w:id="6" w:name="_Hlk497995458"/>
      <w:r w:rsidR="00897AAB">
        <w:t>Lucius Aemili</w:t>
      </w:r>
      <w:r w:rsidR="008A26ED">
        <w:t>us Paullus Macedonicus</w:t>
      </w:r>
      <w:r w:rsidR="00897AAB">
        <w:t xml:space="preserve"> </w:t>
      </w:r>
      <w:bookmarkEnd w:id="6"/>
      <w:r w:rsidR="00897AAB">
        <w:t>who was a consul of t</w:t>
      </w:r>
      <w:r w:rsidR="00223809">
        <w:t xml:space="preserve">he Roman Republic </w:t>
      </w:r>
      <w:r w:rsidR="00897AAB">
        <w:t>famous for his conquest of Mac</w:t>
      </w:r>
      <w:r w:rsidR="002F48CB">
        <w:t>edon.</w:t>
      </w:r>
      <w:r w:rsidR="002F48CB">
        <w:rPr>
          <w:rStyle w:val="EndnoteReference"/>
        </w:rPr>
        <w:endnoteReference w:id="8"/>
      </w:r>
      <w:r w:rsidR="00897AAB" w:rsidRPr="004A316A">
        <w:rPr>
          <w:color w:val="FF0000"/>
        </w:rPr>
        <w:t xml:space="preserve"> </w:t>
      </w:r>
      <w:r w:rsidR="00897AAB">
        <w:t xml:space="preserve">In these and other Renaissance pictorial reconstructions of the Roman triumph, the topography of Renaissance Rome figures prominently in the background, reinforcing the temporal and spatial </w:t>
      </w:r>
      <w:r w:rsidR="00D361AB">
        <w:t>registers</w:t>
      </w:r>
      <w:r w:rsidR="00897AAB">
        <w:t xml:space="preserve"> between allegorical/historiographical depiction and contemporary (sometimes idealised) representations of the papal city.  </w:t>
      </w:r>
    </w:p>
    <w:p w14:paraId="2561EBD4" w14:textId="77777777" w:rsidR="00D816D3" w:rsidRPr="002348E6" w:rsidRDefault="00897AAB" w:rsidP="002348E6">
      <w:pPr>
        <w:pStyle w:val="Newparagraph"/>
        <w:rPr>
          <w:color w:val="FF0000"/>
        </w:rPr>
      </w:pPr>
      <w:r>
        <w:t>In the Festa della Chi</w:t>
      </w:r>
      <w:r w:rsidR="004A316A">
        <w:t>nea</w:t>
      </w:r>
      <w:r w:rsidR="00C83C4E">
        <w:t>, as in other festivals of the medieval and early modern periods,</w:t>
      </w:r>
      <w:r w:rsidR="004A316A">
        <w:t xml:space="preserve"> we see</w:t>
      </w:r>
      <w:r w:rsidR="00C83C4E">
        <w:t xml:space="preserve"> </w:t>
      </w:r>
      <w:r w:rsidR="004A316A">
        <w:t>how these</w:t>
      </w:r>
      <w:r>
        <w:t xml:space="preserve"> pagan</w:t>
      </w:r>
      <w:r w:rsidR="004A316A">
        <w:t xml:space="preserve"> associations</w:t>
      </w:r>
      <w:r w:rsidR="00C83C4E">
        <w:t xml:space="preserve"> </w:t>
      </w:r>
      <w:r>
        <w:t>underl</w:t>
      </w:r>
      <w:r w:rsidR="004A3E9D">
        <w:t>ie</w:t>
      </w:r>
      <w:r>
        <w:t xml:space="preserve"> </w:t>
      </w:r>
      <w:r w:rsidR="009A5704">
        <w:t>the symbolism of the occasion;</w:t>
      </w:r>
      <w:r w:rsidR="00C83C4E">
        <w:t xml:space="preserve"> to reinforce </w:t>
      </w:r>
      <w:r>
        <w:t>the elevated status of the pope</w:t>
      </w:r>
      <w:r w:rsidR="00E33A5A">
        <w:t xml:space="preserve"> (</w:t>
      </w:r>
      <w:r w:rsidR="00E33A5A" w:rsidRPr="00715AE6">
        <w:rPr>
          <w:i/>
        </w:rPr>
        <w:t>Pontifex Maximus</w:t>
      </w:r>
      <w:r w:rsidR="00E33A5A">
        <w:t>)</w:t>
      </w:r>
      <w:r>
        <w:t xml:space="preserve"> as recipient of th</w:t>
      </w:r>
      <w:r w:rsidR="00C83C4E">
        <w:t>e</w:t>
      </w:r>
      <w:r>
        <w:t xml:space="preserve"> annual gift from the </w:t>
      </w:r>
      <w:r w:rsidR="00904AAD" w:rsidRPr="00904AAD">
        <w:t xml:space="preserve">viceroy of the </w:t>
      </w:r>
      <w:r w:rsidRPr="00904AAD">
        <w:t xml:space="preserve">Kingdom </w:t>
      </w:r>
      <w:r w:rsidR="00C451C8">
        <w:t>Naples</w:t>
      </w:r>
      <w:r w:rsidR="004A316A" w:rsidRPr="00904AAD">
        <w:t xml:space="preserve">, </w:t>
      </w:r>
      <w:r w:rsidR="004A316A" w:rsidRPr="004A316A">
        <w:t>which also included the offer of tribute money</w:t>
      </w:r>
      <w:r w:rsidRPr="004A316A">
        <w:t xml:space="preserve">. </w:t>
      </w:r>
      <w:r w:rsidR="00BB6BE1">
        <w:t>Votive o</w:t>
      </w:r>
      <w:r w:rsidR="005D6978">
        <w:t>fferings</w:t>
      </w:r>
      <w:r w:rsidR="00C83C4E">
        <w:t xml:space="preserve"> to deities, in the form of sacrifices or live animal</w:t>
      </w:r>
      <w:r w:rsidR="004A3E9D">
        <w:t>s</w:t>
      </w:r>
      <w:r w:rsidR="00C83C4E">
        <w:t>, were a common</w:t>
      </w:r>
      <w:r w:rsidR="005D6978">
        <w:t xml:space="preserve"> feature of ancient Rom</w:t>
      </w:r>
      <w:r w:rsidR="00BB6BE1">
        <w:t>an</w:t>
      </w:r>
      <w:r w:rsidR="00B403BA">
        <w:t xml:space="preserve"> and early Christian</w:t>
      </w:r>
      <w:r w:rsidR="00BB6BE1">
        <w:t xml:space="preserve"> life</w:t>
      </w:r>
      <w:r w:rsidR="00BD509A">
        <w:t>,</w:t>
      </w:r>
      <w:r w:rsidR="00C83C4E">
        <w:t xml:space="preserve"> in which the principal sacrificiant or donor was usually the emperor or chief priest (</w:t>
      </w:r>
      <w:r w:rsidR="007F2945">
        <w:rPr>
          <w:i/>
        </w:rPr>
        <w:t>pontifex maxim</w:t>
      </w:r>
      <w:r w:rsidR="00C83C4E" w:rsidRPr="00C83C4E">
        <w:rPr>
          <w:i/>
        </w:rPr>
        <w:t>us</w:t>
      </w:r>
      <w:r w:rsidR="00C83C4E">
        <w:t>)</w:t>
      </w:r>
      <w:r w:rsidR="0016387D">
        <w:t>.</w:t>
      </w:r>
      <w:r w:rsidR="007154E8">
        <w:rPr>
          <w:rStyle w:val="EndnoteReference"/>
        </w:rPr>
        <w:endnoteReference w:id="9"/>
      </w:r>
      <w:r w:rsidR="0016387D">
        <w:t xml:space="preserve"> </w:t>
      </w:r>
      <w:r w:rsidR="00696394">
        <w:t>This mortuary (or proto-mortuary) practice, moreover, needs to be seen in the context of animal worship in the ancient world and the gradual des</w:t>
      </w:r>
      <w:r w:rsidR="006B75EF">
        <w:t>a</w:t>
      </w:r>
      <w:r w:rsidR="00696394">
        <w:t>cralization of animals that was partly introduced by Christianity.</w:t>
      </w:r>
      <w:r w:rsidR="00FB4ED8">
        <w:rPr>
          <w:rStyle w:val="EndnoteReference"/>
        </w:rPr>
        <w:endnoteReference w:id="10"/>
      </w:r>
      <w:r w:rsidR="00696394">
        <w:t xml:space="preserve"> </w:t>
      </w:r>
    </w:p>
    <w:p w14:paraId="38A0DF49" w14:textId="77777777" w:rsidR="00D816D3" w:rsidRDefault="00D816D3" w:rsidP="00897AAB">
      <w:pPr>
        <w:pStyle w:val="Newparagraph"/>
        <w:rPr>
          <w:b/>
        </w:rPr>
      </w:pPr>
    </w:p>
    <w:p w14:paraId="0EA2C100" w14:textId="77777777" w:rsidR="00D816D3" w:rsidRDefault="002348E6" w:rsidP="002348E6">
      <w:pPr>
        <w:pStyle w:val="Newparagraph"/>
        <w:rPr>
          <w:b/>
        </w:rPr>
      </w:pPr>
      <w:r>
        <w:rPr>
          <w:noProof/>
        </w:rPr>
        <w:drawing>
          <wp:inline distT="0" distB="0" distL="0" distR="0" wp14:anchorId="4C96B364" wp14:editId="4C6CF1C6">
            <wp:extent cx="5016500" cy="3281900"/>
            <wp:effectExtent l="0" t="0" r="0" b="0"/>
            <wp:docPr id="12291" name="Picture 3">
              <a:extLst xmlns:a="http://schemas.openxmlformats.org/drawingml/2006/main">
                <a:ext uri="{FF2B5EF4-FFF2-40B4-BE49-F238E27FC236}">
                  <a16:creationId xmlns:a16="http://schemas.microsoft.com/office/drawing/2014/main" id="{AF8BB3F7-CCC7-4013-A10E-F7B4A8503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a:extLst>
                        <a:ext uri="{FF2B5EF4-FFF2-40B4-BE49-F238E27FC236}">
                          <a16:creationId xmlns:a16="http://schemas.microsoft.com/office/drawing/2014/main" id="{AF8BB3F7-CCC7-4013-A10E-F7B4A85031BA}"/>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7629" t="28912" r="26302" b="9990"/>
                    <a:stretch>
                      <a:fillRect/>
                    </a:stretch>
                  </pic:blipFill>
                  <pic:spPr bwMode="auto">
                    <a:xfrm>
                      <a:off x="0" y="0"/>
                      <a:ext cx="5044908" cy="3300485"/>
                    </a:xfrm>
                    <a:prstGeom prst="rect">
                      <a:avLst/>
                    </a:prstGeom>
                    <a:noFill/>
                    <a:ln>
                      <a:noFill/>
                    </a:ln>
                  </pic:spPr>
                </pic:pic>
              </a:graphicData>
            </a:graphic>
          </wp:inline>
        </w:drawing>
      </w:r>
    </w:p>
    <w:p w14:paraId="14D2C96F" w14:textId="77777777" w:rsidR="00286A8C" w:rsidRDefault="00BD509A" w:rsidP="002348E6">
      <w:pPr>
        <w:pStyle w:val="Newparagraph"/>
        <w:ind w:firstLine="0"/>
        <w:rPr>
          <w:b/>
        </w:rPr>
      </w:pPr>
      <w:r w:rsidRPr="00FB0DD6">
        <w:rPr>
          <w:b/>
        </w:rPr>
        <w:t xml:space="preserve">Figure 2: </w:t>
      </w:r>
      <w:r w:rsidR="00FB0DD6" w:rsidRPr="00FB0DD6">
        <w:rPr>
          <w:b/>
        </w:rPr>
        <w:t>Procession of the Chinea from the Palazzo Farnese (1756), etching by G. Vasi</w:t>
      </w:r>
      <w:r w:rsidR="00FB0DD6">
        <w:rPr>
          <w:b/>
        </w:rPr>
        <w:t>,</w:t>
      </w:r>
      <w:r w:rsidR="00FB0DD6" w:rsidRPr="00FB0DD6">
        <w:rPr>
          <w:b/>
        </w:rPr>
        <w:t xml:space="preserve"> Museo di Roma</w:t>
      </w:r>
      <w:r w:rsidR="00FB0DD6">
        <w:rPr>
          <w:b/>
        </w:rPr>
        <w:t>.</w:t>
      </w:r>
      <w:r w:rsidR="00FB0DD6" w:rsidRPr="00FB0DD6">
        <w:rPr>
          <w:b/>
        </w:rPr>
        <w:t xml:space="preserve"> GS295. </w:t>
      </w:r>
      <w:r w:rsidR="00006D3B" w:rsidRPr="00FB0DD6">
        <w:rPr>
          <w:b/>
        </w:rPr>
        <w:t xml:space="preserve"> </w:t>
      </w:r>
    </w:p>
    <w:p w14:paraId="75867625" w14:textId="77777777" w:rsidR="00FB0DD6" w:rsidRPr="00FB0DD6" w:rsidRDefault="00FB0DD6" w:rsidP="00897AAB">
      <w:pPr>
        <w:pStyle w:val="Newparagraph"/>
        <w:rPr>
          <w:b/>
        </w:rPr>
      </w:pPr>
    </w:p>
    <w:p w14:paraId="426F6CF1" w14:textId="77777777" w:rsidR="002233C7" w:rsidRDefault="00897AAB" w:rsidP="002233C7">
      <w:pPr>
        <w:pStyle w:val="Newparagraph"/>
      </w:pPr>
      <w:r>
        <w:t>But unlike most ancient Roman festivals, and their later Renaissance reinterpretations, where horses paraded in groups</w:t>
      </w:r>
      <w:r w:rsidR="006E5D32">
        <w:t xml:space="preserve"> or</w:t>
      </w:r>
      <w:r w:rsidR="00223809">
        <w:t xml:space="preserve"> in</w:t>
      </w:r>
      <w:r w:rsidR="006E5D32">
        <w:t xml:space="preserve"> pairs</w:t>
      </w:r>
      <w:r>
        <w:t xml:space="preserve"> p</w:t>
      </w:r>
      <w:r w:rsidR="00223809">
        <w:t>ulling chariots or</w:t>
      </w:r>
      <w:r>
        <w:t xml:space="preserve"> ceremonial floats, the c</w:t>
      </w:r>
      <w:r w:rsidR="00006D3B">
        <w:t>eremony of the Chinea was led</w:t>
      </w:r>
      <w:r>
        <w:t xml:space="preserve"> by a lone white horse whose symbolic purity was no doubt intended to reaffirm the piety of the receiving pope</w:t>
      </w:r>
      <w:r w:rsidR="002233C7">
        <w:t xml:space="preserve"> and the virtuous intent of the donor</w:t>
      </w:r>
      <w:r>
        <w:t xml:space="preserve">. </w:t>
      </w:r>
      <w:r w:rsidR="00223809" w:rsidRPr="001C48AF">
        <w:t xml:space="preserve">There are </w:t>
      </w:r>
      <w:r w:rsidR="00A12E69" w:rsidRPr="001C48AF">
        <w:t>several</w:t>
      </w:r>
      <w:r w:rsidRPr="001C48AF">
        <w:t xml:space="preserve"> aspects of this </w:t>
      </w:r>
      <w:r w:rsidR="00C539A3" w:rsidRPr="001C48AF">
        <w:t xml:space="preserve">equine </w:t>
      </w:r>
      <w:r w:rsidR="006E5D32" w:rsidRPr="001C48AF">
        <w:t>symbolism that suggest</w:t>
      </w:r>
      <w:r w:rsidRPr="001C48AF">
        <w:t xml:space="preserve"> ancient/early Christian references. </w:t>
      </w:r>
      <w:r w:rsidR="00A12E69">
        <w:t>We see this first in</w:t>
      </w:r>
      <w:r>
        <w:t xml:space="preserve"> the special reverence attached to the </w:t>
      </w:r>
      <w:r w:rsidR="004A316A">
        <w:t xml:space="preserve">white </w:t>
      </w:r>
      <w:r>
        <w:t xml:space="preserve">horse as a symbol of the sacrificed and triumphant Christ. This relates to an account in </w:t>
      </w:r>
      <w:r w:rsidRPr="004A316A">
        <w:rPr>
          <w:i/>
        </w:rPr>
        <w:t>Revelations</w:t>
      </w:r>
      <w:r>
        <w:t xml:space="preserve"> (19:11-14)</w:t>
      </w:r>
      <w:r w:rsidR="002233C7">
        <w:t>:</w:t>
      </w:r>
      <w:r w:rsidR="004A316A">
        <w:t xml:space="preserve"> </w:t>
      </w:r>
    </w:p>
    <w:p w14:paraId="47B32AFF" w14:textId="77777777" w:rsidR="002233C7" w:rsidRDefault="002233C7" w:rsidP="002233C7">
      <w:pPr>
        <w:pStyle w:val="Newparagraph"/>
        <w:ind w:firstLine="0"/>
      </w:pPr>
    </w:p>
    <w:p w14:paraId="3F85637C" w14:textId="77777777" w:rsidR="002233C7" w:rsidRDefault="00897AAB" w:rsidP="002233C7">
      <w:pPr>
        <w:pStyle w:val="Newparagraph"/>
        <w:ind w:firstLine="0"/>
      </w:pPr>
      <w:r>
        <w:t xml:space="preserve">“I saw heaven standing open and there before me was a white horse, whose rider is called Faithful and True. With justice he judges and makes war. His eyes are like blazing fire, and on his head are many crowns. He has a name written on him that no-one knows but he himself. He is dressed in a robe dipped in blood, and his name is the Word of God.” </w:t>
      </w:r>
    </w:p>
    <w:p w14:paraId="7B4666A2" w14:textId="77777777" w:rsidR="002233C7" w:rsidRDefault="002233C7" w:rsidP="002233C7">
      <w:pPr>
        <w:pStyle w:val="Newparagraph"/>
        <w:ind w:firstLine="0"/>
      </w:pPr>
    </w:p>
    <w:p w14:paraId="56DC45D8" w14:textId="77777777" w:rsidR="00A8676E" w:rsidRDefault="00994B57" w:rsidP="002233C7">
      <w:pPr>
        <w:pStyle w:val="Newparagraph"/>
        <w:ind w:firstLine="0"/>
      </w:pPr>
      <w:r>
        <w:t xml:space="preserve">          </w:t>
      </w:r>
      <w:r w:rsidR="00006D3B">
        <w:t>This account also finds parallels</w:t>
      </w:r>
      <w:r w:rsidR="00BA5FEF">
        <w:t xml:space="preserve"> in the portrayal of the more famous four horses of the </w:t>
      </w:r>
      <w:r w:rsidR="00006D3B" w:rsidRPr="00006D3B">
        <w:rPr>
          <w:i/>
        </w:rPr>
        <w:t>Apocalypse</w:t>
      </w:r>
      <w:r w:rsidR="002348E6">
        <w:t xml:space="preserve"> (</w:t>
      </w:r>
      <w:r w:rsidR="002348E6" w:rsidRPr="002348E6">
        <w:t>6:1-8</w:t>
      </w:r>
      <w:r w:rsidR="002348E6">
        <w:t xml:space="preserve">), </w:t>
      </w:r>
      <w:r w:rsidR="004A3E9D">
        <w:t xml:space="preserve">that also </w:t>
      </w:r>
      <w:r w:rsidR="00BA5FEF">
        <w:t>incorporat</w:t>
      </w:r>
      <w:r w:rsidR="004A3E9D">
        <w:t>ed</w:t>
      </w:r>
      <w:r w:rsidR="00BA5FEF">
        <w:t xml:space="preserve"> a white horse</w:t>
      </w:r>
      <w:r w:rsidR="002348E6">
        <w:t>.</w:t>
      </w:r>
      <w:r w:rsidR="002348E6">
        <w:rPr>
          <w:rStyle w:val="EndnoteReference"/>
        </w:rPr>
        <w:endnoteReference w:id="11"/>
      </w:r>
      <w:r w:rsidR="002233C7">
        <w:t xml:space="preserve"> </w:t>
      </w:r>
      <w:r w:rsidR="002348E6" w:rsidRPr="002348E6">
        <w:t>The image was particularly popular in Medieval and Renaissance artistic representations, as evidenced in Durer’s famous etching.</w:t>
      </w:r>
      <w:r w:rsidR="002348E6">
        <w:t xml:space="preserve"> </w:t>
      </w:r>
      <w:r w:rsidR="00897AAB">
        <w:t>Whilst</w:t>
      </w:r>
      <w:r w:rsidR="00A17588">
        <w:t xml:space="preserve"> there is no certainty that biblical associations</w:t>
      </w:r>
      <w:r w:rsidR="00897AAB">
        <w:t xml:space="preserve"> between the white horse and Christ direc</w:t>
      </w:r>
      <w:r w:rsidR="00E00455">
        <w:t xml:space="preserve">tly influenced </w:t>
      </w:r>
      <w:r w:rsidR="00897AAB">
        <w:t>the Ch</w:t>
      </w:r>
      <w:r w:rsidR="006D5E0A">
        <w:t>i</w:t>
      </w:r>
      <w:r w:rsidR="00C451C8">
        <w:t xml:space="preserve">nea, it seems </w:t>
      </w:r>
      <w:r w:rsidR="00A17588">
        <w:t>more than plausible that such</w:t>
      </w:r>
      <w:r w:rsidR="006D5E0A">
        <w:t xml:space="preserve"> divine attributes</w:t>
      </w:r>
      <w:r w:rsidR="00223809">
        <w:t xml:space="preserve"> </w:t>
      </w:r>
      <w:r w:rsidR="00C451C8">
        <w:t xml:space="preserve">of the animal </w:t>
      </w:r>
      <w:r w:rsidR="00897AAB">
        <w:t>contributed in some way</w:t>
      </w:r>
      <w:r w:rsidR="00E00455">
        <w:t xml:space="preserve"> to the </w:t>
      </w:r>
      <w:r w:rsidR="00A17588">
        <w:t xml:space="preserve">intended </w:t>
      </w:r>
      <w:r w:rsidR="00E00455">
        <w:t>symbolism of the procession</w:t>
      </w:r>
      <w:r w:rsidR="00897AAB">
        <w:t xml:space="preserve">. </w:t>
      </w:r>
    </w:p>
    <w:p w14:paraId="5B704602" w14:textId="77777777" w:rsidR="0049007A" w:rsidRDefault="0049007A" w:rsidP="0049007A">
      <w:pPr>
        <w:pStyle w:val="Newparagraph"/>
        <w:ind w:firstLine="0"/>
        <w:rPr>
          <w:b/>
        </w:rPr>
      </w:pPr>
    </w:p>
    <w:p w14:paraId="7D3AB30F" w14:textId="77777777" w:rsidR="00A8676E" w:rsidRPr="0049007A" w:rsidRDefault="0049007A" w:rsidP="0049007A">
      <w:pPr>
        <w:pStyle w:val="Newparagraph"/>
        <w:ind w:firstLine="0"/>
        <w:rPr>
          <w:b/>
        </w:rPr>
      </w:pPr>
      <w:r w:rsidRPr="0049007A">
        <w:rPr>
          <w:b/>
        </w:rPr>
        <w:t>Chinea as ‘Sacrificial’ Offering</w:t>
      </w:r>
    </w:p>
    <w:p w14:paraId="4FF43BB6" w14:textId="77777777" w:rsidR="008A2DC3" w:rsidRDefault="00897AAB" w:rsidP="00BD509A">
      <w:pPr>
        <w:pStyle w:val="Newparagraph"/>
      </w:pPr>
      <w:r>
        <w:t>The culminating pa</w:t>
      </w:r>
      <w:r w:rsidR="00E00455">
        <w:t xml:space="preserve">rt of the journey of </w:t>
      </w:r>
      <w:r w:rsidR="004A3E9D">
        <w:t xml:space="preserve">the nag </w:t>
      </w:r>
      <w:r>
        <w:t>entailed</w:t>
      </w:r>
      <w:r w:rsidR="004A3E9D">
        <w:t xml:space="preserve"> </w:t>
      </w:r>
      <w:r>
        <w:t>entering the central portal of St Peter’s and passing between the two stoups in the narthex of the basilica, before finally coming to rest before the pope’s cathedra where the horse was blessed by the pope</w:t>
      </w:r>
      <w:r w:rsidR="00BD509A">
        <w:t xml:space="preserve">. </w:t>
      </w:r>
      <w:r w:rsidR="00A8676E">
        <w:t>According to John Moore:</w:t>
      </w:r>
      <w:r>
        <w:t xml:space="preserve">  </w:t>
      </w:r>
    </w:p>
    <w:p w14:paraId="67A3994B" w14:textId="77777777" w:rsidR="00897AAB" w:rsidRDefault="00897AAB" w:rsidP="00BD509A">
      <w:pPr>
        <w:pStyle w:val="Newparagraph"/>
      </w:pPr>
      <w:r>
        <w:t xml:space="preserve">  </w:t>
      </w:r>
    </w:p>
    <w:p w14:paraId="0A3CCCD5" w14:textId="77777777" w:rsidR="00897AAB" w:rsidRDefault="00897AAB" w:rsidP="00897AAB">
      <w:pPr>
        <w:pStyle w:val="Newparagraph"/>
      </w:pPr>
      <w:r>
        <w:t>“Unlike other tokens of homage, the horse of the Chinea was usually not presented to the pope in private but was led through the tortuous streets of Rome in a splendid procession witnessed by the populace of the city that came to a halt in the very nave of St. Peter's between the two holy water stoups, at the feet of the pontiff borne high in his gestatorial chair. When the Holy See stood vacant, other homages could be received by the Reverend Apostolic Chamber; the Chinea alone was deferred until that holy seat was once again occupied.”</w:t>
      </w:r>
      <w:r w:rsidR="002F48CB">
        <w:rPr>
          <w:rStyle w:val="EndnoteReference"/>
        </w:rPr>
        <w:endnoteReference w:id="12"/>
      </w:r>
      <w:r>
        <w:t xml:space="preserve"> </w:t>
      </w:r>
    </w:p>
    <w:p w14:paraId="598AC126" w14:textId="77777777" w:rsidR="008A2DC3" w:rsidRDefault="008A2DC3" w:rsidP="00897AAB">
      <w:pPr>
        <w:pStyle w:val="Newparagraph"/>
      </w:pPr>
    </w:p>
    <w:p w14:paraId="3B20AA5E" w14:textId="77777777" w:rsidR="0036749D" w:rsidRPr="0036749D" w:rsidRDefault="00897AAB" w:rsidP="0036749D">
      <w:pPr>
        <w:pStyle w:val="Newparagraph"/>
      </w:pPr>
      <w:r>
        <w:t>As basins containing holy water, where worshippers ritually bless</w:t>
      </w:r>
      <w:r w:rsidR="002233C7">
        <w:t>ed</w:t>
      </w:r>
      <w:r>
        <w:t xml:space="preserve"> themselves before enterin</w:t>
      </w:r>
      <w:r w:rsidR="00E00455">
        <w:t xml:space="preserve">g the nave of the basilica, these stoups </w:t>
      </w:r>
      <w:r w:rsidR="004A3E9D">
        <w:t xml:space="preserve">that </w:t>
      </w:r>
      <w:r w:rsidR="00E00455">
        <w:t>flan</w:t>
      </w:r>
      <w:r w:rsidR="004A3E9D">
        <w:t>ked</w:t>
      </w:r>
      <w:r>
        <w:t xml:space="preserve"> the horse’s approach to the papal cathedra reiterate baptismal waters and their mortuary symbolism.</w:t>
      </w:r>
      <w:r w:rsidR="009D40CF">
        <w:rPr>
          <w:rStyle w:val="EndnoteReference"/>
        </w:rPr>
        <w:endnoteReference w:id="13"/>
      </w:r>
      <w:r>
        <w:t xml:space="preserve"> </w:t>
      </w:r>
      <w:r w:rsidR="002233C7">
        <w:t>I</w:t>
      </w:r>
      <w:r>
        <w:t>t is easy</w:t>
      </w:r>
      <w:r w:rsidR="002233C7">
        <w:t xml:space="preserve"> therefore</w:t>
      </w:r>
      <w:r>
        <w:t xml:space="preserve"> to recognise how the purity of the Chinea, as a ritual offering to the pop</w:t>
      </w:r>
      <w:r w:rsidR="00C539A3">
        <w:t xml:space="preserve">e, was further amplified by its </w:t>
      </w:r>
      <w:r>
        <w:t>spatial an</w:t>
      </w:r>
      <w:r w:rsidR="001C48AF">
        <w:t>d thematic relationships to</w:t>
      </w:r>
      <w:r w:rsidR="00C539A3">
        <w:t xml:space="preserve"> the</w:t>
      </w:r>
      <w:r>
        <w:t xml:space="preserve"> ho</w:t>
      </w:r>
      <w:r w:rsidR="00C539A3">
        <w:t>ly water</w:t>
      </w:r>
      <w:r w:rsidR="00E00455">
        <w:t xml:space="preserve">. </w:t>
      </w:r>
    </w:p>
    <w:p w14:paraId="6F34B0A3" w14:textId="77777777" w:rsidR="00D816D3" w:rsidRDefault="00D816D3" w:rsidP="00FB0DD6">
      <w:pPr>
        <w:pStyle w:val="Newparagraph"/>
        <w:rPr>
          <w:b/>
        </w:rPr>
      </w:pPr>
      <w:r>
        <w:rPr>
          <w:noProof/>
        </w:rPr>
        <w:drawing>
          <wp:inline distT="0" distB="0" distL="0" distR="0" wp14:anchorId="0A8408BB" wp14:editId="064FB292">
            <wp:extent cx="4737100" cy="3641783"/>
            <wp:effectExtent l="0" t="0" r="6350" b="0"/>
            <wp:docPr id="15363" name="Picture 2">
              <a:extLst xmlns:a="http://schemas.openxmlformats.org/drawingml/2006/main">
                <a:ext uri="{FF2B5EF4-FFF2-40B4-BE49-F238E27FC236}">
                  <a16:creationId xmlns:a16="http://schemas.microsoft.com/office/drawing/2014/main" id="{9F0D9B99-03D0-443F-AD7D-133BE1C15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a:extLst>
                        <a:ext uri="{FF2B5EF4-FFF2-40B4-BE49-F238E27FC236}">
                          <a16:creationId xmlns:a16="http://schemas.microsoft.com/office/drawing/2014/main" id="{9F0D9B99-03D0-443F-AD7D-133BE1C15E5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349" cy="3646587"/>
                    </a:xfrm>
                    <a:prstGeom prst="rect">
                      <a:avLst/>
                    </a:prstGeom>
                    <a:noFill/>
                    <a:ln>
                      <a:noFill/>
                    </a:ln>
                  </pic:spPr>
                </pic:pic>
              </a:graphicData>
            </a:graphic>
          </wp:inline>
        </w:drawing>
      </w:r>
    </w:p>
    <w:p w14:paraId="53694AE9" w14:textId="77777777" w:rsidR="00BD509A" w:rsidRDefault="00BD509A" w:rsidP="00D816D3">
      <w:pPr>
        <w:pStyle w:val="Newparagraph"/>
        <w:ind w:firstLine="0"/>
        <w:rPr>
          <w:b/>
        </w:rPr>
      </w:pPr>
      <w:bookmarkStart w:id="11" w:name="_Hlk504944692"/>
      <w:r w:rsidRPr="00FB0DD6">
        <w:rPr>
          <w:b/>
        </w:rPr>
        <w:t xml:space="preserve">Figure 3: Offering of the Chinea to the Pope in the Basilica </w:t>
      </w:r>
      <w:r w:rsidR="00FB0DD6" w:rsidRPr="00FB0DD6">
        <w:rPr>
          <w:b/>
        </w:rPr>
        <w:t>of St. Peters. Anonymous, oil on canvas (17</w:t>
      </w:r>
      <w:r w:rsidR="00FB0DD6" w:rsidRPr="00FB0DD6">
        <w:rPr>
          <w:b/>
          <w:vertAlign w:val="superscript"/>
        </w:rPr>
        <w:t>th</w:t>
      </w:r>
      <w:r w:rsidR="00FB0DD6" w:rsidRPr="00FB0DD6">
        <w:rPr>
          <w:b/>
        </w:rPr>
        <w:t xml:space="preserve"> century), Museo di Roma. MR4120.</w:t>
      </w:r>
    </w:p>
    <w:bookmarkEnd w:id="11"/>
    <w:p w14:paraId="096BA37D" w14:textId="77777777" w:rsidR="00FB0DD6" w:rsidRPr="00FB0DD6" w:rsidRDefault="00FB0DD6" w:rsidP="00FB0DD6">
      <w:pPr>
        <w:pStyle w:val="Newparagraph"/>
        <w:rPr>
          <w:b/>
        </w:rPr>
      </w:pPr>
    </w:p>
    <w:p w14:paraId="016BB9E5" w14:textId="77777777" w:rsidR="00A8676E" w:rsidRPr="00FB0DD6" w:rsidRDefault="00897AAB" w:rsidP="00FB0DD6">
      <w:pPr>
        <w:pStyle w:val="Newparagraph"/>
      </w:pPr>
      <w:r>
        <w:t>At the same time, the allusion of the lone horse as</w:t>
      </w:r>
      <w:r w:rsidR="00E00455">
        <w:t xml:space="preserve"> a symbolic</w:t>
      </w:r>
      <w:r>
        <w:t xml:space="preserve"> ‘sacrificial’ offering to the key-bear</w:t>
      </w:r>
      <w:r w:rsidR="00E00455">
        <w:t>er of the Roman Catholic Church</w:t>
      </w:r>
      <w:r>
        <w:t xml:space="preserve"> has a muc</w:t>
      </w:r>
      <w:r w:rsidR="00E00455">
        <w:t>h more ancient precedent. W</w:t>
      </w:r>
      <w:r>
        <w:t xml:space="preserve">e see </w:t>
      </w:r>
      <w:r w:rsidR="004A3E9D">
        <w:t xml:space="preserve">this </w:t>
      </w:r>
      <w:r>
        <w:t>for example in the so-called “October Horse”, which was annually sacrificed to the god Mars on the Campus Martius on the Ides of October (fifteenth day of the Julian Calendar)</w:t>
      </w:r>
      <w:r w:rsidR="009D40CF">
        <w:t>.</w:t>
      </w:r>
      <w:r w:rsidR="009D40CF">
        <w:rPr>
          <w:rStyle w:val="EndnoteReference"/>
        </w:rPr>
        <w:endnoteReference w:id="14"/>
      </w:r>
    </w:p>
    <w:p w14:paraId="1CC7449C" w14:textId="77777777" w:rsidR="00897AAB" w:rsidRPr="00E00455" w:rsidRDefault="00897AAB" w:rsidP="004A3E9D">
      <w:pPr>
        <w:pStyle w:val="Newparagraph"/>
        <w:ind w:firstLine="0"/>
        <w:rPr>
          <w:color w:val="FF0000"/>
        </w:rPr>
      </w:pPr>
      <w:r>
        <w:t xml:space="preserve">Importantly, </w:t>
      </w:r>
      <w:r w:rsidR="004A3E9D">
        <w:t>a</w:t>
      </w:r>
      <w:r>
        <w:t>s C. Bennett Pascal points out, the horse selected for sacrifice was “the right-hand horse of the winning pair in a chariot race”, in an act that formed part of a larger festival that is without a name (incorporating a chariot race, a spearing and then decapitation)</w:t>
      </w:r>
      <w:r w:rsidR="009D40CF">
        <w:t>.</w:t>
      </w:r>
      <w:r w:rsidR="009D40CF">
        <w:rPr>
          <w:rStyle w:val="EndnoteReference"/>
        </w:rPr>
        <w:endnoteReference w:id="15"/>
      </w:r>
      <w:r>
        <w:t xml:space="preserve"> </w:t>
      </w:r>
      <w:r w:rsidR="00044858" w:rsidRPr="00044858">
        <w:t xml:space="preserve">It seems that there was some inter-changeability between horses, bulls, cattle and oxen as sacrificial animals in the ancient world, although the use of horses </w:t>
      </w:r>
      <w:r w:rsidR="004A3E9D">
        <w:t xml:space="preserve">for such </w:t>
      </w:r>
      <w:r w:rsidR="009D2CE9">
        <w:t xml:space="preserve">ritual </w:t>
      </w:r>
      <w:r w:rsidR="004A3E9D">
        <w:t xml:space="preserve">acts </w:t>
      </w:r>
      <w:r w:rsidR="00044858" w:rsidRPr="00044858">
        <w:t>was genera</w:t>
      </w:r>
      <w:r w:rsidR="00C451C8">
        <w:t>lly rare</w:t>
      </w:r>
      <w:r w:rsidR="00044858" w:rsidRPr="00044858">
        <w:t>.</w:t>
      </w:r>
      <w:r w:rsidR="00044858">
        <w:rPr>
          <w:rStyle w:val="EndnoteReference"/>
        </w:rPr>
        <w:endnoteReference w:id="16"/>
      </w:r>
      <w:r w:rsidR="006D19DC">
        <w:t xml:space="preserve"> </w:t>
      </w:r>
      <w:r w:rsidR="002D1312">
        <w:t>Indeed, t</w:t>
      </w:r>
      <w:r w:rsidR="006D19DC">
        <w:t>his is also perhaps the only instance where a lone horse served as the focus of a ritual in ancient Rome.</w:t>
      </w:r>
    </w:p>
    <w:p w14:paraId="239FD3EA" w14:textId="77777777" w:rsidR="004641E8" w:rsidRPr="004641E8" w:rsidRDefault="00897AAB" w:rsidP="00C53693">
      <w:pPr>
        <w:pStyle w:val="Newparagraph"/>
      </w:pPr>
      <w:r>
        <w:t xml:space="preserve">When understood symbolically, </w:t>
      </w:r>
      <w:r w:rsidR="00E00455">
        <w:t>the s</w:t>
      </w:r>
      <w:r w:rsidR="001C48AF">
        <w:t>acrificial and pious</w:t>
      </w:r>
      <w:r w:rsidR="00E00455">
        <w:t xml:space="preserve"> themes underlying the Chinea remind</w:t>
      </w:r>
      <w:r>
        <w:t xml:space="preserve"> us not only of Christ’s martyrdom but also of the mortuary symbolism of the Vatican itself, which was originally the staging ground of returning victorious armies and their cavalry in antiquity - before their triumphal entry into Rome</w:t>
      </w:r>
      <w:r w:rsidR="009D40CF">
        <w:t>.</w:t>
      </w:r>
      <w:r w:rsidR="009D40CF">
        <w:rPr>
          <w:rStyle w:val="EndnoteReference"/>
        </w:rPr>
        <w:endnoteReference w:id="17"/>
      </w:r>
      <w:r>
        <w:t xml:space="preserve"> </w:t>
      </w:r>
      <w:r w:rsidR="00E00455" w:rsidRPr="00E00455">
        <w:t>Importantly,</w:t>
      </w:r>
      <w:r w:rsidR="00E00455">
        <w:rPr>
          <w:color w:val="FF0000"/>
        </w:rPr>
        <w:t xml:space="preserve"> </w:t>
      </w:r>
      <w:r w:rsidR="00E00455">
        <w:t>t</w:t>
      </w:r>
      <w:r>
        <w:t>his symbolism also relates to the date of the Chinea in</w:t>
      </w:r>
      <w:r w:rsidR="00E00455">
        <w:t xml:space="preserve"> the Christian calendar; </w:t>
      </w:r>
      <w:r>
        <w:t>during the vigil of the Feast of Saints Peter and Paul which annually com</w:t>
      </w:r>
      <w:r w:rsidR="00E00455">
        <w:t>memorates the martyrdom of the two</w:t>
      </w:r>
      <w:r>
        <w:t xml:space="preserve"> ‘Princes of the Church’</w:t>
      </w:r>
      <w:r w:rsidR="002D1312">
        <w:t xml:space="preserve">. </w:t>
      </w:r>
      <w:r w:rsidR="004641E8">
        <w:t xml:space="preserve">To quote John </w:t>
      </w:r>
      <w:r w:rsidR="004641E8" w:rsidRPr="004641E8">
        <w:t>Moore again:</w:t>
      </w:r>
    </w:p>
    <w:p w14:paraId="459182AD" w14:textId="77777777" w:rsidR="00C53693" w:rsidRDefault="00C53693" w:rsidP="00E00455">
      <w:pPr>
        <w:pStyle w:val="Newparagraph"/>
      </w:pPr>
    </w:p>
    <w:p w14:paraId="7A4EEDB0" w14:textId="77777777" w:rsidR="00897AAB" w:rsidRDefault="001C5B99" w:rsidP="00E00455">
      <w:pPr>
        <w:pStyle w:val="Newparagraph"/>
      </w:pPr>
      <w:r>
        <w:t>“</w:t>
      </w:r>
      <w:r w:rsidR="00897AAB">
        <w:t>Each year on 28 June, the vigil of the feast of Sts. Peter and Paul, the pope received various feudal homages, either at the Quirinal Palace or at St. Peter's Basilica, where he might preside at Vespers service on the vigil and high mass on the feast day. The pope thus received homage on the eve of the day that commemorated the lives and ministries of two men upon whom the papacy had based its claims to spiritual and temporal authority since a</w:t>
      </w:r>
      <w:r w:rsidR="00C451C8">
        <w:t>t least the days of Constantine</w:t>
      </w:r>
      <w:r>
        <w:t>.”</w:t>
      </w:r>
      <w:r w:rsidR="009D40CF">
        <w:rPr>
          <w:rStyle w:val="EndnoteReference"/>
        </w:rPr>
        <w:endnoteReference w:id="18"/>
      </w:r>
    </w:p>
    <w:p w14:paraId="4101825B" w14:textId="77777777" w:rsidR="004641E8" w:rsidRDefault="004641E8" w:rsidP="00E00455">
      <w:pPr>
        <w:pStyle w:val="Newparagraph"/>
      </w:pPr>
    </w:p>
    <w:p w14:paraId="71F2BBFD" w14:textId="77777777" w:rsidR="00897AAB" w:rsidRDefault="00E00455" w:rsidP="00897AAB">
      <w:pPr>
        <w:pStyle w:val="Newparagraph"/>
      </w:pPr>
      <w:r>
        <w:t>The</w:t>
      </w:r>
      <w:r w:rsidR="00897AAB">
        <w:t xml:space="preserve"> liturgical feast of Peter and Paul, observed on 29th June, was memorialised in the places where the two apostles were thought to have been martyred and buried - on the north and south banks of the Tiber</w:t>
      </w:r>
      <w:r w:rsidR="00C451C8">
        <w:t xml:space="preserve"> river respectively. </w:t>
      </w:r>
      <w:r w:rsidR="004641E8">
        <w:t xml:space="preserve">As </w:t>
      </w:r>
      <w:r w:rsidR="00897AAB">
        <w:t>I have argued elsewhere, by the</w:t>
      </w:r>
      <w:r w:rsidR="00C64769">
        <w:t xml:space="preserve"> 15</w:t>
      </w:r>
      <w:r w:rsidR="00C64769" w:rsidRPr="00C64769">
        <w:rPr>
          <w:vertAlign w:val="superscript"/>
        </w:rPr>
        <w:t>th</w:t>
      </w:r>
      <w:r w:rsidR="00C64769">
        <w:t xml:space="preserve"> century</w:t>
      </w:r>
      <w:r w:rsidR="00897AAB">
        <w:t xml:space="preserve"> there emerged a corresponding relationship between the military/mortuary</w:t>
      </w:r>
      <w:r w:rsidR="001C5B99">
        <w:t xml:space="preserve"> associations </w:t>
      </w:r>
      <w:r w:rsidR="00897AAB">
        <w:t>of the Vatican and its significance as the supposed site of Peter’s martyrdom.</w:t>
      </w:r>
      <w:r w:rsidR="009D40CF">
        <w:rPr>
          <w:rStyle w:val="EndnoteReference"/>
        </w:rPr>
        <w:endnoteReference w:id="19"/>
      </w:r>
      <w:r>
        <w:t xml:space="preserve"> </w:t>
      </w:r>
    </w:p>
    <w:p w14:paraId="0822DE70" w14:textId="77777777" w:rsidR="00752518" w:rsidRPr="00752518" w:rsidRDefault="00752518" w:rsidP="00C53693">
      <w:pPr>
        <w:pStyle w:val="Newparagraph"/>
        <w:ind w:firstLine="0"/>
      </w:pPr>
    </w:p>
    <w:p w14:paraId="3CBC162D" w14:textId="77777777" w:rsidR="00752518" w:rsidRPr="00752518" w:rsidRDefault="00752518" w:rsidP="00C53693">
      <w:pPr>
        <w:pStyle w:val="Newparagraph"/>
        <w:ind w:firstLine="0"/>
        <w:rPr>
          <w:b/>
        </w:rPr>
      </w:pPr>
      <w:r w:rsidRPr="00752518">
        <w:rPr>
          <w:b/>
        </w:rPr>
        <w:t xml:space="preserve">Fluvial Symbolism </w:t>
      </w:r>
    </w:p>
    <w:p w14:paraId="16AB8BA0" w14:textId="77777777" w:rsidR="00050953" w:rsidRPr="00752518" w:rsidRDefault="00994B57" w:rsidP="00C53693">
      <w:pPr>
        <w:pStyle w:val="Newparagraph"/>
        <w:ind w:firstLine="0"/>
      </w:pPr>
      <w:r>
        <w:t xml:space="preserve">          </w:t>
      </w:r>
      <w:r w:rsidR="00523479" w:rsidRPr="00752518">
        <w:t>A guiding theme in</w:t>
      </w:r>
      <w:r w:rsidR="00752518" w:rsidRPr="00752518">
        <w:t xml:space="preserve"> the mortuary associations of the Vatican</w:t>
      </w:r>
      <w:r w:rsidR="0067739D" w:rsidRPr="00752518">
        <w:t xml:space="preserve"> was</w:t>
      </w:r>
      <w:r w:rsidR="00222F4E" w:rsidRPr="00752518">
        <w:t xml:space="preserve"> the fluvial symbolism of the Tiber River and its tributaries, and how the flow of water was deemed to convey levels of purity within the liturgical and ritual context</w:t>
      </w:r>
      <w:r w:rsidR="00050953" w:rsidRPr="00752518">
        <w:t>s</w:t>
      </w:r>
      <w:r w:rsidR="00222F4E" w:rsidRPr="00752518">
        <w:t xml:space="preserve"> of the city. The redemptive</w:t>
      </w:r>
      <w:r w:rsidR="00050953" w:rsidRPr="00752518">
        <w:t xml:space="preserve"> associations of the Chinea</w:t>
      </w:r>
      <w:r w:rsidR="0067739D" w:rsidRPr="00752518">
        <w:t>, in its</w:t>
      </w:r>
      <w:r w:rsidR="00050953" w:rsidRPr="00752518">
        <w:t xml:space="preserve"> journey to the Vatican, probably drew upon this fluvial symbolism</w:t>
      </w:r>
      <w:r w:rsidR="00523479" w:rsidRPr="00752518">
        <w:t xml:space="preserve"> in ways that extended beyond the holy water of St Peter’s Basilica referred to earlier. A good starting point in this study of water symbolism is an</w:t>
      </w:r>
      <w:r w:rsidR="00050953" w:rsidRPr="00752518">
        <w:t xml:space="preserve"> account by </w:t>
      </w:r>
      <w:r w:rsidR="00523479" w:rsidRPr="00752518">
        <w:t>the 4</w:t>
      </w:r>
      <w:r w:rsidR="00523479" w:rsidRPr="00752518">
        <w:rPr>
          <w:vertAlign w:val="superscript"/>
        </w:rPr>
        <w:t>th</w:t>
      </w:r>
      <w:r w:rsidR="00523479" w:rsidRPr="00752518">
        <w:t xml:space="preserve"> century Roman poet Aurelius Prudentius Clemens</w:t>
      </w:r>
      <w:r w:rsidR="00050953" w:rsidRPr="00752518">
        <w:t>:</w:t>
      </w:r>
    </w:p>
    <w:p w14:paraId="4E183358" w14:textId="77777777" w:rsidR="00320790" w:rsidRDefault="00320790" w:rsidP="00C53693">
      <w:pPr>
        <w:pStyle w:val="Newparagraph"/>
        <w:ind w:firstLine="0"/>
      </w:pPr>
    </w:p>
    <w:p w14:paraId="117695FB" w14:textId="77777777" w:rsidR="00050953" w:rsidRDefault="00050953" w:rsidP="00C53693">
      <w:pPr>
        <w:pStyle w:val="Newparagraph"/>
        <w:ind w:firstLine="0"/>
        <w:rPr>
          <w:color w:val="FF0000"/>
        </w:rPr>
      </w:pPr>
      <w:r w:rsidRPr="00752518">
        <w:t>“The quarter on the right bank too</w:t>
      </w:r>
      <w:r w:rsidR="0091503D" w:rsidRPr="00752518">
        <w:t>k</w:t>
      </w:r>
      <w:r w:rsidRPr="00752518">
        <w:t xml:space="preserve"> Peter into its charge and keep him in the golden dwelling [basilica], where there is the grey of the olive-trees and the sound of a stream; for the water rising from the brow of a rock [</w:t>
      </w:r>
      <w:r w:rsidRPr="00320790">
        <w:rPr>
          <w:i/>
        </w:rPr>
        <w:t>mons Vaticanus</w:t>
      </w:r>
      <w:r w:rsidRPr="00752518">
        <w:t>] has revealed a perennial spring which makes them fruitful in the holy oil. Now it runs over costly marbles, gliding smoothly down the slope till it bellows in a green basin [</w:t>
      </w:r>
      <w:r w:rsidRPr="00320790">
        <w:rPr>
          <w:i/>
        </w:rPr>
        <w:t>catharus</w:t>
      </w:r>
      <w:r w:rsidRPr="00752518">
        <w:t>]. There is an inner part of the memorial where the stream falls with a loud sound and rolls along a deep, cool pool [</w:t>
      </w:r>
      <w:r w:rsidRPr="00320790">
        <w:rPr>
          <w:i/>
        </w:rPr>
        <w:t>baptistery</w:t>
      </w:r>
      <w:r w:rsidRPr="00752518">
        <w:t>]</w:t>
      </w:r>
      <w:r w:rsidR="00F13C34" w:rsidRPr="00752518">
        <w:t>.”</w:t>
      </w:r>
      <w:r w:rsidR="000E4C65">
        <w:rPr>
          <w:rStyle w:val="EndnoteReference"/>
        </w:rPr>
        <w:endnoteReference w:id="20"/>
      </w:r>
      <w:r w:rsidRPr="00752518">
        <w:t xml:space="preserve"> </w:t>
      </w:r>
    </w:p>
    <w:p w14:paraId="0D647DF3" w14:textId="77777777" w:rsidR="0067739D" w:rsidRDefault="0067739D" w:rsidP="00C53693">
      <w:pPr>
        <w:pStyle w:val="Newparagraph"/>
        <w:ind w:firstLine="0"/>
        <w:rPr>
          <w:color w:val="FF0000"/>
        </w:rPr>
      </w:pPr>
    </w:p>
    <w:p w14:paraId="63409CDB" w14:textId="77777777" w:rsidR="002269B8" w:rsidRDefault="00F13C34" w:rsidP="00C53693">
      <w:pPr>
        <w:pStyle w:val="Newparagraph"/>
        <w:ind w:firstLine="0"/>
        <w:rPr>
          <w:color w:val="FF0000"/>
        </w:rPr>
      </w:pPr>
      <w:r w:rsidRPr="00320790">
        <w:t xml:space="preserve">Whilst this </w:t>
      </w:r>
      <w:r w:rsidR="00320790">
        <w:t>poetic work</w:t>
      </w:r>
      <w:r w:rsidRPr="00320790">
        <w:t xml:space="preserve"> describes an underground stream in the Vatican feeding the baptistery of St. Peter’s Basilica, it </w:t>
      </w:r>
      <w:r w:rsidR="00D2793E" w:rsidRPr="00320790">
        <w:t>could just as easily convey a larger topography</w:t>
      </w:r>
      <w:r w:rsidRPr="00320790">
        <w:t xml:space="preserve"> </w:t>
      </w:r>
      <w:r w:rsidR="0067739D" w:rsidRPr="00320790">
        <w:t xml:space="preserve">of </w:t>
      </w:r>
      <w:r w:rsidRPr="00320790">
        <w:t xml:space="preserve">fountains and water courses </w:t>
      </w:r>
      <w:r w:rsidR="00D2793E" w:rsidRPr="00320790">
        <w:t>in Rome</w:t>
      </w:r>
      <w:r w:rsidR="00523479" w:rsidRPr="00320790">
        <w:t xml:space="preserve"> that were deemed to possess</w:t>
      </w:r>
      <w:r w:rsidR="00414590" w:rsidRPr="00320790">
        <w:t xml:space="preserve"> </w:t>
      </w:r>
      <w:r w:rsidR="00085E0E" w:rsidRPr="00320790">
        <w:t>rejuvenating</w:t>
      </w:r>
      <w:r w:rsidR="00994B57">
        <w:t xml:space="preserve"> (or miasmic)</w:t>
      </w:r>
      <w:r w:rsidR="00414590" w:rsidRPr="00320790">
        <w:t xml:space="preserve"> qualities</w:t>
      </w:r>
      <w:r w:rsidR="00D2793E" w:rsidRPr="00320790">
        <w:t xml:space="preserve">. </w:t>
      </w:r>
      <w:r w:rsidR="002E06EE" w:rsidRPr="00320790">
        <w:t xml:space="preserve">In all likelihood, the underground stream described by </w:t>
      </w:r>
      <w:r w:rsidR="00C102BC" w:rsidRPr="00320790">
        <w:t xml:space="preserve">Prudentius was </w:t>
      </w:r>
      <w:r w:rsidR="002E06EE" w:rsidRPr="00320790">
        <w:t>ori</w:t>
      </w:r>
      <w:r w:rsidR="00414590" w:rsidRPr="00320790">
        <w:t>ginally the source of water used to supply the stoups</w:t>
      </w:r>
      <w:r w:rsidR="002E06EE" w:rsidRPr="00320790">
        <w:t xml:space="preserve">. </w:t>
      </w:r>
      <w:r w:rsidRPr="00320790">
        <w:t>Seen in the contex</w:t>
      </w:r>
      <w:r w:rsidR="002E06EE" w:rsidRPr="00320790">
        <w:t xml:space="preserve">t of the </w:t>
      </w:r>
      <w:r w:rsidR="002269B8" w:rsidRPr="00320790">
        <w:t xml:space="preserve">processional </w:t>
      </w:r>
      <w:r w:rsidR="002E06EE" w:rsidRPr="00320790">
        <w:t>itine</w:t>
      </w:r>
      <w:r w:rsidR="0067739D" w:rsidRPr="00320790">
        <w:t>rary of the salvific white nag</w:t>
      </w:r>
      <w:r w:rsidR="00414590" w:rsidRPr="00320790">
        <w:t>,</w:t>
      </w:r>
      <w:r w:rsidR="002E06EE" w:rsidRPr="00320790">
        <w:t xml:space="preserve"> </w:t>
      </w:r>
      <w:r w:rsidR="00D2793E" w:rsidRPr="00320790">
        <w:t xml:space="preserve">the stages of </w:t>
      </w:r>
      <w:r w:rsidR="002E06EE" w:rsidRPr="00320790">
        <w:t xml:space="preserve">its </w:t>
      </w:r>
      <w:r w:rsidR="002269B8" w:rsidRPr="00320790">
        <w:t xml:space="preserve">journey to the papal cathedra in St Peter’s Basilica </w:t>
      </w:r>
      <w:r w:rsidR="00D2793E" w:rsidRPr="00320790">
        <w:t>were</w:t>
      </w:r>
      <w:r w:rsidR="002269B8" w:rsidRPr="00320790">
        <w:t xml:space="preserve"> </w:t>
      </w:r>
      <w:r w:rsidR="00414590" w:rsidRPr="00320790">
        <w:t xml:space="preserve">probably </w:t>
      </w:r>
      <w:r w:rsidR="002269B8" w:rsidRPr="00320790">
        <w:t xml:space="preserve">signalled </w:t>
      </w:r>
      <w:r w:rsidR="00414590" w:rsidRPr="00320790">
        <w:t xml:space="preserve">in part </w:t>
      </w:r>
      <w:r w:rsidR="00D2793E" w:rsidRPr="00320790">
        <w:t>by</w:t>
      </w:r>
      <w:r w:rsidR="00C102BC" w:rsidRPr="00320790">
        <w:t xml:space="preserve"> the availability of running water that combined the activities of </w:t>
      </w:r>
      <w:r w:rsidR="002269B8" w:rsidRPr="00320790">
        <w:t>nuptial blessing</w:t>
      </w:r>
      <w:r w:rsidR="00D2793E" w:rsidRPr="00320790">
        <w:t>s</w:t>
      </w:r>
      <w:r w:rsidR="00C102BC" w:rsidRPr="00320790">
        <w:t xml:space="preserve"> </w:t>
      </w:r>
      <w:r w:rsidR="00320790">
        <w:t xml:space="preserve">and relieving the animal’s </w:t>
      </w:r>
      <w:r w:rsidR="002269B8" w:rsidRPr="00320790">
        <w:t>thirst</w:t>
      </w:r>
      <w:r w:rsidR="00C102BC" w:rsidRPr="00320790">
        <w:t xml:space="preserve">. </w:t>
      </w:r>
      <w:r w:rsidR="00481F28" w:rsidRPr="00320790">
        <w:t xml:space="preserve">A frequently cited </w:t>
      </w:r>
      <w:r w:rsidR="00446750" w:rsidRPr="00320790">
        <w:t xml:space="preserve">Biblical </w:t>
      </w:r>
      <w:r w:rsidR="00481F28" w:rsidRPr="00320790">
        <w:t xml:space="preserve">reference to the symbolism </w:t>
      </w:r>
      <w:r w:rsidR="00446750" w:rsidRPr="00320790">
        <w:t>of water</w:t>
      </w:r>
      <w:r w:rsidR="00481F28" w:rsidRPr="00320790">
        <w:t>, used in church mosaics and baptismal iconography</w:t>
      </w:r>
      <w:r w:rsidR="00376987" w:rsidRPr="00320790">
        <w:t xml:space="preserve"> (including St Peter’s Bap</w:t>
      </w:r>
      <w:r w:rsidR="00320790" w:rsidRPr="00320790">
        <w:t>t</w:t>
      </w:r>
      <w:r w:rsidR="00376987" w:rsidRPr="00320790">
        <w:t>istery)</w:t>
      </w:r>
      <w:r w:rsidR="00481F28" w:rsidRPr="00320790">
        <w:t>,</w:t>
      </w:r>
      <w:r w:rsidR="00446750" w:rsidRPr="00320790">
        <w:t xml:space="preserve"> is the famous description in Psalm 42:1 of a deer quivering before </w:t>
      </w:r>
      <w:r w:rsidR="00481F28" w:rsidRPr="00320790">
        <w:t>drinking from a stream, symbolic of the</w:t>
      </w:r>
      <w:r w:rsidR="00446750" w:rsidRPr="00320790">
        <w:t xml:space="preserve"> waters of Paradise. </w:t>
      </w:r>
    </w:p>
    <w:p w14:paraId="40CE65A2" w14:textId="77777777" w:rsidR="00B132CB" w:rsidRPr="003F1807" w:rsidRDefault="00994B57" w:rsidP="00C53693">
      <w:pPr>
        <w:pStyle w:val="Newparagraph"/>
        <w:ind w:firstLine="0"/>
      </w:pPr>
      <w:r>
        <w:t xml:space="preserve">          </w:t>
      </w:r>
      <w:r w:rsidR="001C4C5B" w:rsidRPr="003F1807">
        <w:t>The</w:t>
      </w:r>
      <w:r w:rsidR="00B11B6F" w:rsidRPr="003F1807">
        <w:t xml:space="preserve"> close association between </w:t>
      </w:r>
      <w:r w:rsidR="00320790" w:rsidRPr="003F1807">
        <w:t>the topography/</w:t>
      </w:r>
      <w:r w:rsidR="00B11B6F" w:rsidRPr="003F1807">
        <w:t>terra</w:t>
      </w:r>
      <w:r w:rsidR="001C4C5B" w:rsidRPr="003F1807">
        <w:t xml:space="preserve">in of Rome and mortuary </w:t>
      </w:r>
      <w:r w:rsidR="00B11B6F" w:rsidRPr="003F1807">
        <w:t>symbolism, specifically in regard to the approach to the Vatican</w:t>
      </w:r>
      <w:r w:rsidR="00AC7451" w:rsidRPr="003F1807">
        <w:t xml:space="preserve"> across the Tiber river</w:t>
      </w:r>
      <w:r w:rsidR="00320790" w:rsidRPr="003F1807">
        <w:t>, formed a key part of the ritual itinerary of the Chinea</w:t>
      </w:r>
      <w:r w:rsidR="00B11B6F" w:rsidRPr="003F1807">
        <w:t xml:space="preserve">. </w:t>
      </w:r>
      <w:r w:rsidR="008C5277" w:rsidRPr="003F1807">
        <w:t>U</w:t>
      </w:r>
      <w:r w:rsidR="00B11B6F" w:rsidRPr="003F1807">
        <w:t>nlike</w:t>
      </w:r>
      <w:r w:rsidR="00320790" w:rsidRPr="003F1807">
        <w:t>,</w:t>
      </w:r>
      <w:r w:rsidR="00B11B6F" w:rsidRPr="003F1807">
        <w:t xml:space="preserve"> </w:t>
      </w:r>
      <w:r w:rsidR="008C5277" w:rsidRPr="003F1807">
        <w:t>however</w:t>
      </w:r>
      <w:r w:rsidR="00320790" w:rsidRPr="003F1807">
        <w:t>,</w:t>
      </w:r>
      <w:r w:rsidR="008C5277" w:rsidRPr="003F1807">
        <w:t xml:space="preserve"> </w:t>
      </w:r>
      <w:r w:rsidR="00B11B6F" w:rsidRPr="003F1807">
        <w:t xml:space="preserve">other major ceremonial events in Rome, such as the papal </w:t>
      </w:r>
      <w:r w:rsidR="00B11B6F" w:rsidRPr="003F1807">
        <w:rPr>
          <w:i/>
        </w:rPr>
        <w:t xml:space="preserve">possesso </w:t>
      </w:r>
      <w:r w:rsidR="00B11B6F" w:rsidRPr="003F1807">
        <w:t>and imperial entries (such as Charles V</w:t>
      </w:r>
      <w:r w:rsidR="003F1807" w:rsidRPr="003F1807">
        <w:t>, Holy Roman Emperor</w:t>
      </w:r>
      <w:r w:rsidR="00B11B6F" w:rsidRPr="003F1807">
        <w:t>), the Festa della Chinea did not entail traversing the whole city – between the Vatican</w:t>
      </w:r>
      <w:r w:rsidR="008C5277" w:rsidRPr="003F1807">
        <w:t xml:space="preserve"> to the west</w:t>
      </w:r>
      <w:r w:rsidR="00B11B6F" w:rsidRPr="003F1807">
        <w:t xml:space="preserve"> and the Lateran</w:t>
      </w:r>
      <w:r w:rsidR="008C5277" w:rsidRPr="003F1807">
        <w:t xml:space="preserve"> to the east</w:t>
      </w:r>
      <w:r w:rsidR="00B11B6F" w:rsidRPr="003F1807">
        <w:t xml:space="preserve"> – but was rath</w:t>
      </w:r>
      <w:r w:rsidR="00442D91" w:rsidRPr="003F1807">
        <w:t>er localised to the area extending east-west from</w:t>
      </w:r>
      <w:r w:rsidR="00B11B6F" w:rsidRPr="003F1807">
        <w:t xml:space="preserve"> the Quirinale</w:t>
      </w:r>
      <w:r w:rsidR="00B20F48" w:rsidRPr="003F1807">
        <w:t xml:space="preserve"> </w:t>
      </w:r>
      <w:r w:rsidR="001C4C5B" w:rsidRPr="003F1807">
        <w:t xml:space="preserve">(former location </w:t>
      </w:r>
      <w:r w:rsidR="00376987" w:rsidRPr="003F1807">
        <w:t>of the embassy of the Bourbon Kingdom of Naples</w:t>
      </w:r>
      <w:r w:rsidR="001C4C5B" w:rsidRPr="003F1807">
        <w:t xml:space="preserve">) </w:t>
      </w:r>
      <w:r w:rsidR="00442D91" w:rsidRPr="003F1807">
        <w:t>to</w:t>
      </w:r>
      <w:r w:rsidR="001C4C5B" w:rsidRPr="003F1807">
        <w:t xml:space="preserve"> the Vatican</w:t>
      </w:r>
      <w:r w:rsidR="00442D91" w:rsidRPr="003F1807">
        <w:t>. This zone</w:t>
      </w:r>
      <w:r w:rsidR="003939E7" w:rsidRPr="003F1807">
        <w:t xml:space="preserve"> of Rome </w:t>
      </w:r>
      <w:r w:rsidR="001C4C5B" w:rsidRPr="003F1807">
        <w:t>encompassed a number of major piazzas that were k</w:t>
      </w:r>
      <w:r w:rsidR="003939E7" w:rsidRPr="003F1807">
        <w:t>nown for their</w:t>
      </w:r>
      <w:r w:rsidR="001C4C5B" w:rsidRPr="003F1807">
        <w:t xml:space="preserve"> abundant fountains and drinking troughs; </w:t>
      </w:r>
      <w:r w:rsidR="00442D91" w:rsidRPr="003F1807">
        <w:t xml:space="preserve">notably Piazza </w:t>
      </w:r>
      <w:r w:rsidR="00376987" w:rsidRPr="003F1807">
        <w:t xml:space="preserve">del </w:t>
      </w:r>
      <w:r w:rsidR="00442D91" w:rsidRPr="003F1807">
        <w:t>Quirinale, Piazza di Trevi, Piazza Farnese,</w:t>
      </w:r>
      <w:r w:rsidR="00B11B6F" w:rsidRPr="003F1807">
        <w:t xml:space="preserve"> </w:t>
      </w:r>
      <w:r w:rsidR="001C4C5B" w:rsidRPr="003F1807">
        <w:t xml:space="preserve">Piazza Navona and </w:t>
      </w:r>
      <w:r w:rsidR="00442D91" w:rsidRPr="003F1807">
        <w:t>Piazza di S. Pietro. Prior to the construction of new St. Peter’s Basilica</w:t>
      </w:r>
      <w:r w:rsidR="00376987" w:rsidRPr="003F1807">
        <w:t xml:space="preserve"> in the 16</w:t>
      </w:r>
      <w:r w:rsidR="00376987" w:rsidRPr="003F1807">
        <w:rPr>
          <w:vertAlign w:val="superscript"/>
        </w:rPr>
        <w:t>th</w:t>
      </w:r>
      <w:r w:rsidR="00376987" w:rsidRPr="003F1807">
        <w:t xml:space="preserve"> century</w:t>
      </w:r>
      <w:r w:rsidR="00442D91" w:rsidRPr="003F1807">
        <w:t>, th</w:t>
      </w:r>
      <w:r w:rsidR="00376987" w:rsidRPr="003F1807">
        <w:t>e Chinea would have encountered</w:t>
      </w:r>
      <w:r w:rsidR="00851835" w:rsidRPr="003F1807">
        <w:t xml:space="preserve"> </w:t>
      </w:r>
      <w:r w:rsidR="00442D91" w:rsidRPr="003F1807">
        <w:t>one of the most exq</w:t>
      </w:r>
      <w:r w:rsidR="00B132CB" w:rsidRPr="003F1807">
        <w:t>uisite fountains</w:t>
      </w:r>
      <w:r w:rsidR="00442D91" w:rsidRPr="003F1807">
        <w:t xml:space="preserve"> in the atrium of old St. Peter’s. </w:t>
      </w:r>
      <w:r w:rsidR="00851835" w:rsidRPr="003F1807">
        <w:t xml:space="preserve">Constructed in bronze and </w:t>
      </w:r>
      <w:r w:rsidR="00B132CB" w:rsidRPr="003F1807">
        <w:t>crowned by an elaborate</w:t>
      </w:r>
      <w:r w:rsidR="00FF43E4" w:rsidRPr="003F1807">
        <w:t xml:space="preserve"> canopy</w:t>
      </w:r>
      <w:r w:rsidR="00B132CB" w:rsidRPr="003F1807">
        <w:t>,</w:t>
      </w:r>
      <w:r w:rsidR="00851835" w:rsidRPr="003F1807">
        <w:t xml:space="preserve"> the centre-piece of the fountain was a larg</w:t>
      </w:r>
      <w:r w:rsidR="00B132CB" w:rsidRPr="003F1807">
        <w:t>e</w:t>
      </w:r>
      <w:r w:rsidR="00851835" w:rsidRPr="003F1807">
        <w:t xml:space="preserve"> pine-cone</w:t>
      </w:r>
      <w:r w:rsidR="00FF43E4" w:rsidRPr="003F1807">
        <w:t xml:space="preserve"> (</w:t>
      </w:r>
      <w:r w:rsidR="00FF43E4" w:rsidRPr="003F1807">
        <w:rPr>
          <w:i/>
        </w:rPr>
        <w:t>pigna</w:t>
      </w:r>
      <w:r w:rsidR="00FF43E4" w:rsidRPr="003F1807">
        <w:t>)</w:t>
      </w:r>
      <w:r w:rsidR="00851835" w:rsidRPr="003F1807">
        <w:t xml:space="preserve"> spoutin</w:t>
      </w:r>
      <w:r w:rsidR="00B132CB" w:rsidRPr="003F1807">
        <w:t>g water with peacocks at each corner</w:t>
      </w:r>
      <w:r w:rsidR="00FF43E4" w:rsidRPr="003F1807">
        <w:t>.</w:t>
      </w:r>
      <w:r w:rsidR="00851835" w:rsidRPr="003F1807">
        <w:t xml:space="preserve"> </w:t>
      </w:r>
      <w:r w:rsidR="00B132CB" w:rsidRPr="003F1807">
        <w:t>Used by pilgrims to replenish themselves before entering the basilica, the fountain symbolised the pre-baptismal</w:t>
      </w:r>
      <w:r w:rsidR="00953ED3">
        <w:t xml:space="preserve"> nuptials of the neophyte, whose water was </w:t>
      </w:r>
      <w:r w:rsidR="003E6B21">
        <w:t xml:space="preserve">originally </w:t>
      </w:r>
      <w:r w:rsidR="00953ED3">
        <w:t>supplied by the same underground stream that Prudentius describes.</w:t>
      </w:r>
      <w:r w:rsidR="00B132CB" w:rsidRPr="003F1807">
        <w:t xml:space="preserve">   </w:t>
      </w:r>
      <w:r w:rsidR="00851835" w:rsidRPr="003F1807">
        <w:t xml:space="preserve">  </w:t>
      </w:r>
      <w:r w:rsidR="008C5277" w:rsidRPr="003F1807">
        <w:t xml:space="preserve"> </w:t>
      </w:r>
    </w:p>
    <w:p w14:paraId="491DDD28" w14:textId="77777777" w:rsidR="002D1312" w:rsidRPr="003F1807" w:rsidRDefault="00994B57" w:rsidP="00C53693">
      <w:pPr>
        <w:pStyle w:val="Newparagraph"/>
        <w:ind w:firstLine="0"/>
      </w:pPr>
      <w:r>
        <w:t xml:space="preserve">          </w:t>
      </w:r>
      <w:r w:rsidR="008C5277" w:rsidRPr="003F1807">
        <w:t xml:space="preserve">Whilst </w:t>
      </w:r>
      <w:r w:rsidR="000D5630" w:rsidRPr="003F1807">
        <w:t>we have little</w:t>
      </w:r>
      <w:r w:rsidR="008C5277" w:rsidRPr="003F1807">
        <w:t xml:space="preserve"> docu</w:t>
      </w:r>
      <w:r w:rsidR="000D5630" w:rsidRPr="003F1807">
        <w:t>mentary evidence of the known</w:t>
      </w:r>
      <w:r w:rsidR="008C5277" w:rsidRPr="003F1807">
        <w:t xml:space="preserve"> routes of the procession before the 18</w:t>
      </w:r>
      <w:r w:rsidR="008C5277" w:rsidRPr="003F1807">
        <w:rPr>
          <w:vertAlign w:val="superscript"/>
        </w:rPr>
        <w:t>th</w:t>
      </w:r>
      <w:r w:rsidR="008C5277" w:rsidRPr="003F1807">
        <w:t xml:space="preserve"> century, it seems likely that the wandering nag </w:t>
      </w:r>
      <w:r w:rsidR="000D5630" w:rsidRPr="003F1807">
        <w:t>and its ent</w:t>
      </w:r>
      <w:r w:rsidR="001C4C5B" w:rsidRPr="003F1807">
        <w:t xml:space="preserve">ourage of floats and riders </w:t>
      </w:r>
      <w:r w:rsidR="00376987" w:rsidRPr="003F1807">
        <w:t>would have paraded through</w:t>
      </w:r>
      <w:r w:rsidR="008C5277" w:rsidRPr="003F1807">
        <w:t xml:space="preserve"> </w:t>
      </w:r>
      <w:r w:rsidR="00B132CB" w:rsidRPr="003F1807">
        <w:t>the principal</w:t>
      </w:r>
      <w:r w:rsidR="003E6B21">
        <w:t xml:space="preserve"> public spaces</w:t>
      </w:r>
      <w:r w:rsidR="000D5630" w:rsidRPr="003F1807">
        <w:t xml:space="preserve"> in</w:t>
      </w:r>
      <w:r w:rsidR="008C5277" w:rsidRPr="003F1807">
        <w:t xml:space="preserve"> the city</w:t>
      </w:r>
      <w:r w:rsidR="00376987" w:rsidRPr="003F1807">
        <w:t>,</w:t>
      </w:r>
      <w:r w:rsidR="00B132CB" w:rsidRPr="003F1807">
        <w:t xml:space="preserve"> b</w:t>
      </w:r>
      <w:r w:rsidR="00376987" w:rsidRPr="003F1807">
        <w:t>etween the Quirinal and Vatican. This would have included</w:t>
      </w:r>
      <w:r w:rsidR="008C5277" w:rsidRPr="003F1807">
        <w:t xml:space="preserve"> circumnav</w:t>
      </w:r>
      <w:r w:rsidR="00424DED" w:rsidRPr="003F1807">
        <w:t xml:space="preserve">igating the linear space of </w:t>
      </w:r>
      <w:r w:rsidR="008C5277" w:rsidRPr="003F1807">
        <w:t>Piazza Navona</w:t>
      </w:r>
      <w:r w:rsidR="00376987" w:rsidRPr="003F1807">
        <w:t>,</w:t>
      </w:r>
      <w:r w:rsidR="008C5277" w:rsidRPr="003F1807">
        <w:t xml:space="preserve"> the focus of nu</w:t>
      </w:r>
      <w:r w:rsidR="000D5630" w:rsidRPr="003F1807">
        <w:t>merous other festive events including the Festa di Agone</w:t>
      </w:r>
      <w:r w:rsidR="008C5277" w:rsidRPr="003F1807">
        <w:t>.</w:t>
      </w:r>
      <w:r w:rsidR="00E20269" w:rsidRPr="003F1807">
        <w:t xml:space="preserve"> </w:t>
      </w:r>
    </w:p>
    <w:p w14:paraId="19BA1130" w14:textId="77777777" w:rsidR="000C0229" w:rsidRDefault="000C0229" w:rsidP="002D1312">
      <w:pPr>
        <w:pStyle w:val="Newparagraph"/>
        <w:ind w:firstLine="0"/>
        <w:rPr>
          <w:b/>
        </w:rPr>
      </w:pPr>
    </w:p>
    <w:p w14:paraId="1232271F" w14:textId="77777777" w:rsidR="002D1312" w:rsidRPr="0049007A" w:rsidRDefault="000C0229" w:rsidP="002D1312">
      <w:pPr>
        <w:pStyle w:val="Newparagraph"/>
        <w:ind w:firstLine="0"/>
        <w:rPr>
          <w:b/>
        </w:rPr>
      </w:pPr>
      <w:r>
        <w:rPr>
          <w:b/>
        </w:rPr>
        <w:t>Divination through Wa</w:t>
      </w:r>
      <w:r w:rsidR="002D1312" w:rsidRPr="0049007A">
        <w:rPr>
          <w:b/>
        </w:rPr>
        <w:t xml:space="preserve">ndering </w:t>
      </w:r>
    </w:p>
    <w:p w14:paraId="29138B15" w14:textId="77777777" w:rsidR="0049007A" w:rsidRDefault="003E6B21" w:rsidP="00C53693">
      <w:pPr>
        <w:pStyle w:val="Newparagraph"/>
        <w:ind w:firstLine="0"/>
      </w:pPr>
      <w:r>
        <w:t xml:space="preserve">This brings us to the intriguing </w:t>
      </w:r>
      <w:r w:rsidR="00897AAB">
        <w:t>issue of the ‘ambling’ movements of the nag in</w:t>
      </w:r>
      <w:r w:rsidR="00E00455">
        <w:t xml:space="preserve"> the Chinea procession, affirmed</w:t>
      </w:r>
      <w:r w:rsidR="00897AAB">
        <w:t xml:space="preserve"> in the etymology of the term (derived from the Old French </w:t>
      </w:r>
      <w:r w:rsidR="001C5B99">
        <w:t>‘</w:t>
      </w:r>
      <w:r w:rsidR="00897AAB">
        <w:t>haguenée</w:t>
      </w:r>
      <w:r w:rsidR="001C5B99">
        <w:t>’</w:t>
      </w:r>
      <w:r w:rsidR="00897AAB">
        <w:t xml:space="preserve"> meaning “horse of ambling gait”</w:t>
      </w:r>
      <w:r w:rsidR="00D55D66">
        <w:t xml:space="preserve"> from wh</w:t>
      </w:r>
      <w:r w:rsidR="008A2DC3">
        <w:t>ich</w:t>
      </w:r>
      <w:r w:rsidR="00D55D66">
        <w:t xml:space="preserve"> the English term </w:t>
      </w:r>
      <w:r w:rsidR="00C64769">
        <w:t>‘h</w:t>
      </w:r>
      <w:r w:rsidR="00D55D66">
        <w:t>ackney</w:t>
      </w:r>
      <w:r w:rsidR="00C64769">
        <w:t>’ is thought to</w:t>
      </w:r>
      <w:r w:rsidR="00D55D66">
        <w:t xml:space="preserve"> originate</w:t>
      </w:r>
      <w:r w:rsidR="00897AAB">
        <w:t>)</w:t>
      </w:r>
      <w:r w:rsidR="00314B3C">
        <w:t>.</w:t>
      </w:r>
      <w:r w:rsidR="00314B3C">
        <w:rPr>
          <w:rStyle w:val="EndnoteReference"/>
        </w:rPr>
        <w:endnoteReference w:id="21"/>
      </w:r>
      <w:r w:rsidR="001C48AF">
        <w:t xml:space="preserve"> As already </w:t>
      </w:r>
      <w:r w:rsidR="00C451C8">
        <w:t>mentioned</w:t>
      </w:r>
      <w:r w:rsidR="001C48AF">
        <w:t>, in</w:t>
      </w:r>
      <w:r w:rsidR="00897AAB">
        <w:t xml:space="preserve"> the ceremonial parades through the streets of Rome</w:t>
      </w:r>
      <w:r w:rsidR="00C64769">
        <w:t>,</w:t>
      </w:r>
      <w:r w:rsidR="00897AAB">
        <w:t xml:space="preserve"> animals would typically be yoked to a carriage, float or chariot</w:t>
      </w:r>
      <w:r w:rsidR="00E10403">
        <w:t>,</w:t>
      </w:r>
      <w:r w:rsidR="00897AAB">
        <w:t xml:space="preserve"> and adorned in such a way that their appearance blended into the </w:t>
      </w:r>
      <w:r w:rsidR="004641E8">
        <w:t>overall iconographic machinery</w:t>
      </w:r>
      <w:r w:rsidR="00897AAB">
        <w:t xml:space="preserve"> of the procession. </w:t>
      </w:r>
    </w:p>
    <w:p w14:paraId="6DCB6EA8" w14:textId="77777777" w:rsidR="00FB0DD6" w:rsidRPr="00F2307B" w:rsidRDefault="00FB0DD6" w:rsidP="00C53693">
      <w:pPr>
        <w:pStyle w:val="Newparagraph"/>
        <w:ind w:firstLine="0"/>
      </w:pPr>
      <w:r>
        <w:t xml:space="preserve">           </w:t>
      </w:r>
      <w:r w:rsidR="00897AAB">
        <w:t>In</w:t>
      </w:r>
      <w:r w:rsidR="00E10403">
        <w:t xml:space="preserve"> many ways, the Chinea </w:t>
      </w:r>
      <w:r w:rsidR="00897AAB">
        <w:t>allude</w:t>
      </w:r>
      <w:r w:rsidR="00E10403">
        <w:t>s</w:t>
      </w:r>
      <w:r w:rsidR="00897AAB">
        <w:t xml:space="preserve"> to a </w:t>
      </w:r>
      <w:r w:rsidR="00E10403">
        <w:t xml:space="preserve">rather </w:t>
      </w:r>
      <w:r w:rsidR="00897AAB">
        <w:t>diff</w:t>
      </w:r>
      <w:r w:rsidR="001C48AF">
        <w:t>erent tradition</w:t>
      </w:r>
      <w:r w:rsidR="00C451C8">
        <w:t xml:space="preserve"> from that of </w:t>
      </w:r>
      <w:r w:rsidR="00897AAB">
        <w:t>mainstream Roman festival events. Whether the white horse was originally allowed to literally ‘w</w:t>
      </w:r>
      <w:r w:rsidR="004F6701">
        <w:t>a</w:t>
      </w:r>
      <w:r w:rsidR="00897AAB">
        <w:t>nder’ the s</w:t>
      </w:r>
      <w:r w:rsidR="00E10403">
        <w:t>treets of Rome, the meaning of Chinea</w:t>
      </w:r>
      <w:r w:rsidR="00897AAB">
        <w:t xml:space="preserve"> suggests that its meandering</w:t>
      </w:r>
      <w:r w:rsidR="008A2DC3">
        <w:t xml:space="preserve"> movements</w:t>
      </w:r>
      <w:r w:rsidR="00897AAB">
        <w:t xml:space="preserve"> formed a central feature of the who</w:t>
      </w:r>
      <w:r w:rsidR="00E10403">
        <w:t xml:space="preserve">le spectacle. </w:t>
      </w:r>
      <w:r w:rsidR="006B75EF">
        <w:t xml:space="preserve">There is of course a tradition of allowing animals to roam the streets of a city, as we see for example in the famous </w:t>
      </w:r>
      <w:r w:rsidR="006B75EF" w:rsidRPr="006B75EF">
        <w:rPr>
          <w:i/>
        </w:rPr>
        <w:t xml:space="preserve">Encierro </w:t>
      </w:r>
      <w:r w:rsidR="006B75EF">
        <w:t>(Running of the Bulls) in Pamplona in Spain that takes place before the bull-fight.</w:t>
      </w:r>
      <w:r w:rsidR="005D6080">
        <w:t xml:space="preserve"> This </w:t>
      </w:r>
      <w:r w:rsidR="006B75EF">
        <w:t>an</w:t>
      </w:r>
      <w:r w:rsidR="005D6080">
        <w:t>nual spectacle, however, is an agonic event – a contest between citizens who seek to provoke the bulls in their race to the bullring. By contrast, t</w:t>
      </w:r>
      <w:r w:rsidR="00897AAB">
        <w:t xml:space="preserve">he relaxed and informal </w:t>
      </w:r>
      <w:r w:rsidR="00EE04F1">
        <w:t>demeanour</w:t>
      </w:r>
      <w:r w:rsidR="005D6080">
        <w:t xml:space="preserve"> of the Chinea serves as a solitary roaming of the city (Rome) without outward provocation. This style of parade also marks a significant difference to the </w:t>
      </w:r>
      <w:r w:rsidR="00897AAB">
        <w:t xml:space="preserve">formality </w:t>
      </w:r>
      <w:r w:rsidR="00C451C8">
        <w:t>of</w:t>
      </w:r>
      <w:r w:rsidR="00897AAB">
        <w:t xml:space="preserve"> the triumphal march</w:t>
      </w:r>
      <w:r w:rsidR="00E10403">
        <w:t>,</w:t>
      </w:r>
      <w:r w:rsidR="00897AAB">
        <w:t xml:space="preserve"> and other analogous military</w:t>
      </w:r>
      <w:r w:rsidR="00FA4845">
        <w:t>/imperial</w:t>
      </w:r>
      <w:r w:rsidR="00897AAB">
        <w:t xml:space="preserve"> style parades in the ancient and early modern city. </w:t>
      </w:r>
      <w:r w:rsidR="00424DED" w:rsidRPr="00F2307B">
        <w:t xml:space="preserve">One could construe from this difference, a conscious distinction between two modes of representing the </w:t>
      </w:r>
      <w:r w:rsidR="00F2307B" w:rsidRPr="00F2307B">
        <w:t xml:space="preserve">redeemed </w:t>
      </w:r>
      <w:r w:rsidR="00424DED" w:rsidRPr="00F2307B">
        <w:t>city. In the case of the tri</w:t>
      </w:r>
      <w:r w:rsidR="00E352E1" w:rsidRPr="00F2307B">
        <w:t>umphal march, the city comprised</w:t>
      </w:r>
      <w:r w:rsidR="00424DED" w:rsidRPr="00F2307B">
        <w:t xml:space="preserve"> a series of carefully staged and formally constructed ceremonial spaces. Whilst we know that the route of the triumph march </w:t>
      </w:r>
      <w:r w:rsidR="003F1807">
        <w:t xml:space="preserve">in antiquity </w:t>
      </w:r>
      <w:r w:rsidR="00424DED" w:rsidRPr="00F2307B">
        <w:t>changed through time, the itinerary of each procession was clearly intended to serve as a unified ‘set-piece’. In contrast, the procession of the Chin</w:t>
      </w:r>
      <w:r w:rsidR="00E352E1" w:rsidRPr="00F2307B">
        <w:t xml:space="preserve">ea presented Rome as a </w:t>
      </w:r>
      <w:r w:rsidR="00424DED" w:rsidRPr="00F2307B">
        <w:t xml:space="preserve">labyrinth of routes </w:t>
      </w:r>
      <w:r w:rsidR="00E352E1" w:rsidRPr="00F2307B">
        <w:t>and public spaces, whose encounters</w:t>
      </w:r>
      <w:r w:rsidR="000836A7" w:rsidRPr="00F2307B">
        <w:t xml:space="preserve"> are perhaps more analogous to the experience of a wandering pilgrim that a </w:t>
      </w:r>
      <w:r w:rsidR="003E6B21">
        <w:t xml:space="preserve">pacified </w:t>
      </w:r>
      <w:r w:rsidR="000836A7" w:rsidRPr="00F2307B">
        <w:t>war-horse. T</w:t>
      </w:r>
      <w:r w:rsidR="003F1807">
        <w:t>he Roman triumph</w:t>
      </w:r>
      <w:r w:rsidR="000836A7" w:rsidRPr="00F2307B">
        <w:t>, moreover,</w:t>
      </w:r>
      <w:r w:rsidR="003E6B21">
        <w:t xml:space="preserve"> treats </w:t>
      </w:r>
      <w:r w:rsidR="00E352E1" w:rsidRPr="00F2307B">
        <w:t>parading horse</w:t>
      </w:r>
      <w:r w:rsidR="003F1807">
        <w:t>s</w:t>
      </w:r>
      <w:r w:rsidR="00E352E1" w:rsidRPr="00F2307B">
        <w:t xml:space="preserve"> as part of the military and ceremonial armoury</w:t>
      </w:r>
      <w:r w:rsidR="003E6B21">
        <w:t xml:space="preserve"> that has</w:t>
      </w:r>
      <w:r w:rsidR="00F2307B" w:rsidRPr="00F2307B">
        <w:t xml:space="preserve"> been subject to the miasma of conflict</w:t>
      </w:r>
      <w:r w:rsidR="00E352E1" w:rsidRPr="00F2307B">
        <w:t>,</w:t>
      </w:r>
      <w:r w:rsidR="00F2307B" w:rsidRPr="00F2307B">
        <w:t xml:space="preserve"> thereby</w:t>
      </w:r>
      <w:r w:rsidR="00E352E1" w:rsidRPr="00F2307B">
        <w:t xml:space="preserve"> </w:t>
      </w:r>
      <w:r w:rsidR="00F2307B" w:rsidRPr="00F2307B">
        <w:t xml:space="preserve">being </w:t>
      </w:r>
      <w:r w:rsidR="00E352E1" w:rsidRPr="00F2307B">
        <w:t>disciplined and compliant</w:t>
      </w:r>
      <w:r w:rsidR="003F1807">
        <w:t xml:space="preserve">; the Chinea </w:t>
      </w:r>
      <w:r w:rsidR="00E352E1" w:rsidRPr="00F2307B">
        <w:t>on the other hand presents the lone horse as</w:t>
      </w:r>
      <w:r w:rsidR="000836A7" w:rsidRPr="00F2307B">
        <w:t xml:space="preserve"> pious and innocent, like a newly baptised infant. </w:t>
      </w:r>
      <w:r w:rsidR="00E352E1" w:rsidRPr="00F2307B">
        <w:t xml:space="preserve"> </w:t>
      </w:r>
      <w:r w:rsidR="00424DED" w:rsidRPr="00F2307B">
        <w:t xml:space="preserve"> </w:t>
      </w:r>
    </w:p>
    <w:p w14:paraId="30610E8E" w14:textId="77777777" w:rsidR="00897AAB" w:rsidRDefault="00FB0DD6" w:rsidP="00C53693">
      <w:pPr>
        <w:pStyle w:val="Newparagraph"/>
        <w:ind w:firstLine="0"/>
      </w:pPr>
      <w:r>
        <w:t xml:space="preserve">            </w:t>
      </w:r>
      <w:r w:rsidR="00897AAB">
        <w:t xml:space="preserve">There is </w:t>
      </w:r>
      <w:r w:rsidR="003F1807">
        <w:t xml:space="preserve">an interesting </w:t>
      </w:r>
      <w:r w:rsidR="00D10E2E">
        <w:t>historical precedent to the roaming</w:t>
      </w:r>
      <w:r w:rsidR="003F1807">
        <w:t xml:space="preserve"> horse</w:t>
      </w:r>
      <w:r w:rsidR="00897AAB">
        <w:t xml:space="preserve"> which may have a bearing on the underlying symbolism of the </w:t>
      </w:r>
      <w:r w:rsidR="003F1807">
        <w:t xml:space="preserve">Festa della </w:t>
      </w:r>
      <w:r w:rsidR="00897AAB">
        <w:t>Chinea, but one which is not directly related to equine symbolism</w:t>
      </w:r>
      <w:r w:rsidR="00EE04F1">
        <w:t xml:space="preserve"> </w:t>
      </w:r>
      <w:r w:rsidR="003E6B21">
        <w:t xml:space="preserve">- </w:t>
      </w:r>
      <w:r w:rsidR="00EE04F1">
        <w:t xml:space="preserve">nor indeed </w:t>
      </w:r>
      <w:r w:rsidR="002D1312">
        <w:t>to</w:t>
      </w:r>
      <w:r w:rsidR="00EE04F1">
        <w:t xml:space="preserve"> festival iconography</w:t>
      </w:r>
      <w:r w:rsidR="00897AAB">
        <w:t xml:space="preserve">. According to numerous accounts, Emperor Constantine’s foundation of the new imperial capital on the </w:t>
      </w:r>
      <w:r w:rsidR="001C5B99">
        <w:t>Bosporus</w:t>
      </w:r>
      <w:r w:rsidR="00897AAB">
        <w:t xml:space="preserve"> (Constantinople) followed the archaic Roman practice of yoking a white ox and a cow to a bronze plough that cut a furrow form</w:t>
      </w:r>
      <w:r w:rsidR="00C64769">
        <w:t>ing</w:t>
      </w:r>
      <w:r w:rsidR="00897AAB">
        <w:t xml:space="preserve"> the sacred pomerium </w:t>
      </w:r>
      <w:r w:rsidR="003F1807">
        <w:t xml:space="preserve">(religious boundary) </w:t>
      </w:r>
      <w:r w:rsidR="00897AAB">
        <w:t>of the future city walls</w:t>
      </w:r>
      <w:r w:rsidR="00314B3C">
        <w:t>.</w:t>
      </w:r>
      <w:r w:rsidR="00314B3C">
        <w:rPr>
          <w:rStyle w:val="EndnoteReference"/>
        </w:rPr>
        <w:endnoteReference w:id="22"/>
      </w:r>
      <w:r w:rsidR="00897AAB">
        <w:t xml:space="preserve"> The tradition however of the founder directing the plough was suspended on this occasion in favour of allowing the ox and cow to follow their own path, thereby famously deviating from the pre-determined boundary line of the new city</w:t>
      </w:r>
      <w:r w:rsidR="00177FE9">
        <w:t>.</w:t>
      </w:r>
      <w:r w:rsidR="00177FE9">
        <w:rPr>
          <w:rStyle w:val="EndnoteReference"/>
        </w:rPr>
        <w:endnoteReference w:id="23"/>
      </w:r>
      <w:r w:rsidR="00897AAB">
        <w:t xml:space="preserve"> As</w:t>
      </w:r>
      <w:r w:rsidR="00EE04F1">
        <w:t xml:space="preserve"> Joseph</w:t>
      </w:r>
      <w:r w:rsidR="00897AAB">
        <w:t xml:space="preserve"> Rykwert reminds us: “In the various accounts of Constantine’s foundation of Constantinople, there are stories of his divinely inspired enlargement of the city boundary which had been fixed previously. It is not unnatural, therefore, to assume that divination was applied topographically.”</w:t>
      </w:r>
      <w:r w:rsidR="00177FE9">
        <w:rPr>
          <w:rStyle w:val="EndnoteReference"/>
        </w:rPr>
        <w:endnoteReference w:id="24"/>
      </w:r>
      <w:r w:rsidR="00994B57">
        <w:t xml:space="preserve"> Whilst the</w:t>
      </w:r>
      <w:r w:rsidR="00897AAB">
        <w:t xml:space="preserve"> lone white horse, that headed the ceremony of the Festa della Chinea, did not ha</w:t>
      </w:r>
      <w:r w:rsidR="00EC382A">
        <w:t>ve a role in defining</w:t>
      </w:r>
      <w:r w:rsidR="00C64769">
        <w:t>/redefining</w:t>
      </w:r>
      <w:r w:rsidR="00897AAB">
        <w:t xml:space="preserve"> </w:t>
      </w:r>
      <w:r w:rsidR="00E10403">
        <w:t xml:space="preserve">the </w:t>
      </w:r>
      <w:r w:rsidR="00897AAB">
        <w:t>city boundaries, it seem</w:t>
      </w:r>
      <w:r w:rsidR="00EC382A">
        <w:t xml:space="preserve">s plausible that the animal was </w:t>
      </w:r>
      <w:r w:rsidR="00897AAB">
        <w:t>intended to be ‘divinely’ guided through the</w:t>
      </w:r>
      <w:r w:rsidR="00EC382A">
        <w:t xml:space="preserve"> labyrinthine streets of Rome</w:t>
      </w:r>
      <w:r w:rsidR="00C64769">
        <w:t xml:space="preserve"> and </w:t>
      </w:r>
      <w:r w:rsidR="00C53693">
        <w:t xml:space="preserve">thereby </w:t>
      </w:r>
      <w:r w:rsidR="00C64769">
        <w:t xml:space="preserve">reaffirm the </w:t>
      </w:r>
      <w:r w:rsidR="0050434B">
        <w:t xml:space="preserve">solemnity and </w:t>
      </w:r>
      <w:r w:rsidR="00C64769">
        <w:t xml:space="preserve">sanctity of the </w:t>
      </w:r>
      <w:r w:rsidR="0050434B">
        <w:t>papal offering</w:t>
      </w:r>
      <w:r w:rsidR="00C53693">
        <w:t>,</w:t>
      </w:r>
      <w:r w:rsidR="00C64769">
        <w:t xml:space="preserve"> whatever underlying political </w:t>
      </w:r>
      <w:r w:rsidR="0050434B">
        <w:t>objectives</w:t>
      </w:r>
      <w:r w:rsidR="00C64769">
        <w:t xml:space="preserve"> were</w:t>
      </w:r>
      <w:r w:rsidR="00194AA9">
        <w:t xml:space="preserve"> </w:t>
      </w:r>
      <w:r w:rsidR="0050434B">
        <w:t>intended in</w:t>
      </w:r>
      <w:r w:rsidR="00194AA9">
        <w:t xml:space="preserve"> this ceremonial gesture</w:t>
      </w:r>
      <w:r w:rsidR="00897AAB">
        <w:t xml:space="preserve">.  </w:t>
      </w:r>
    </w:p>
    <w:p w14:paraId="16782A3E" w14:textId="77777777" w:rsidR="0068397D" w:rsidRDefault="00994B57" w:rsidP="0068397D">
      <w:pPr>
        <w:pStyle w:val="Newparagraph"/>
      </w:pPr>
      <w:r>
        <w:t>W</w:t>
      </w:r>
      <w:r w:rsidR="00897AAB">
        <w:t>e can only specu</w:t>
      </w:r>
      <w:r w:rsidR="000D55D0">
        <w:t xml:space="preserve">late </w:t>
      </w:r>
      <w:r w:rsidR="0050434B">
        <w:t>to what extent</w:t>
      </w:r>
      <w:r w:rsidR="000D55D0">
        <w:t xml:space="preserve"> the procession</w:t>
      </w:r>
      <w:r w:rsidR="00897AAB">
        <w:t xml:space="preserve"> </w:t>
      </w:r>
      <w:r>
        <w:t xml:space="preserve">of the Chinea consciously drew upon </w:t>
      </w:r>
      <w:r w:rsidR="003E6B21">
        <w:t>these different</w:t>
      </w:r>
      <w:r w:rsidR="00897AAB">
        <w:t xml:space="preserve"> influences, many of which</w:t>
      </w:r>
      <w:r w:rsidR="00FB0DD6">
        <w:t xml:space="preserve"> had</w:t>
      </w:r>
      <w:r w:rsidR="00897AAB">
        <w:t xml:space="preserve"> their roots in ancient Roman tradit</w:t>
      </w:r>
      <w:r w:rsidR="00FA4845">
        <w:t>ions</w:t>
      </w:r>
      <w:r w:rsidR="00897AAB">
        <w:t xml:space="preserve">. Paying homage to the pope, particularly during the Feast of Saints Peter and Paul, was a major annual event </w:t>
      </w:r>
      <w:r w:rsidR="00D10E2E">
        <w:t xml:space="preserve">that </w:t>
      </w:r>
      <w:r w:rsidR="0050434B">
        <w:t xml:space="preserve">in many ways </w:t>
      </w:r>
      <w:r w:rsidR="00FB0DD6">
        <w:t xml:space="preserve">was </w:t>
      </w:r>
      <w:r w:rsidR="00897AAB">
        <w:t xml:space="preserve">a form of </w:t>
      </w:r>
      <w:r w:rsidR="00FA4845">
        <w:t>ceremonial panegyric</w:t>
      </w:r>
      <w:r w:rsidR="00D10E2E">
        <w:t>,</w:t>
      </w:r>
      <w:r w:rsidR="003E6B21">
        <w:t xml:space="preserve"> and </w:t>
      </w:r>
      <w:r w:rsidR="00FB0DD6">
        <w:t>which</w:t>
      </w:r>
      <w:r w:rsidR="00897AAB">
        <w:t xml:space="preserve"> can </w:t>
      </w:r>
      <w:r w:rsidR="000D55D0">
        <w:t xml:space="preserve">also </w:t>
      </w:r>
      <w:r w:rsidR="00897AAB">
        <w:t>be traced in papal homages granted by other ruling kingdoms</w:t>
      </w:r>
      <w:r w:rsidR="000D55D0">
        <w:t>.</w:t>
      </w:r>
      <w:r w:rsidR="000D55D0">
        <w:rPr>
          <w:rStyle w:val="EndnoteReference"/>
        </w:rPr>
        <w:endnoteReference w:id="25"/>
      </w:r>
      <w:r w:rsidR="000D55D0">
        <w:t xml:space="preserve"> </w:t>
      </w:r>
    </w:p>
    <w:p w14:paraId="1AF93909" w14:textId="77777777" w:rsidR="00133B76" w:rsidRDefault="00133B76" w:rsidP="00133B76">
      <w:pPr>
        <w:pStyle w:val="Newparagraph"/>
        <w:ind w:firstLine="0"/>
      </w:pPr>
    </w:p>
    <w:p w14:paraId="660DBDB2" w14:textId="77777777" w:rsidR="00133B76" w:rsidRPr="00133B76" w:rsidRDefault="0049007A" w:rsidP="00133B76">
      <w:pPr>
        <w:pStyle w:val="Newparagraph"/>
        <w:ind w:firstLine="0"/>
        <w:rPr>
          <w:b/>
        </w:rPr>
      </w:pPr>
      <w:r>
        <w:rPr>
          <w:b/>
        </w:rPr>
        <w:t xml:space="preserve">Changes </w:t>
      </w:r>
      <w:r w:rsidR="00133B76" w:rsidRPr="00133B76">
        <w:rPr>
          <w:b/>
        </w:rPr>
        <w:t>in the 17</w:t>
      </w:r>
      <w:r w:rsidR="00133B76" w:rsidRPr="00133B76">
        <w:rPr>
          <w:b/>
          <w:vertAlign w:val="superscript"/>
        </w:rPr>
        <w:t>th</w:t>
      </w:r>
      <w:r w:rsidR="00133B76" w:rsidRPr="00133B76">
        <w:rPr>
          <w:b/>
        </w:rPr>
        <w:t xml:space="preserve"> and 18</w:t>
      </w:r>
      <w:r w:rsidR="00133B76" w:rsidRPr="00133B76">
        <w:rPr>
          <w:b/>
          <w:vertAlign w:val="superscript"/>
        </w:rPr>
        <w:t>th</w:t>
      </w:r>
      <w:r w:rsidR="00133B76" w:rsidRPr="00133B76">
        <w:rPr>
          <w:b/>
        </w:rPr>
        <w:t xml:space="preserve"> Centuries</w:t>
      </w:r>
    </w:p>
    <w:p w14:paraId="3833550B" w14:textId="77777777" w:rsidR="007514DE" w:rsidRDefault="0068397D" w:rsidP="00427223">
      <w:pPr>
        <w:pStyle w:val="Newparagraph"/>
      </w:pPr>
      <w:r>
        <w:t>B</w:t>
      </w:r>
      <w:r w:rsidR="000D55D0" w:rsidRPr="000D55D0">
        <w:t>y the late 17th century</w:t>
      </w:r>
      <w:r w:rsidR="000B2D89">
        <w:t xml:space="preserve"> significant changes t</w:t>
      </w:r>
      <w:r w:rsidR="00194AA9">
        <w:t>ook</w:t>
      </w:r>
      <w:r>
        <w:t xml:space="preserve"> place in the staging of the Festa della Chinea, as a result of a</w:t>
      </w:r>
      <w:r w:rsidR="000D55D0" w:rsidRPr="000D55D0">
        <w:t xml:space="preserve"> combinatio</w:t>
      </w:r>
      <w:r w:rsidR="000B2D89">
        <w:t>n of two factors</w:t>
      </w:r>
      <w:r>
        <w:t>;</w:t>
      </w:r>
      <w:r w:rsidR="000D55D0" w:rsidRPr="000D55D0">
        <w:t xml:space="preserve"> firstly by the relocation of the residence of the </w:t>
      </w:r>
      <w:r w:rsidR="00906420">
        <w:t>ambassadors of the Kingdom of Southern Italy and Sicily</w:t>
      </w:r>
      <w:r>
        <w:t xml:space="preserve"> to the Palazzo Farnese</w:t>
      </w:r>
      <w:r w:rsidR="000B2D89">
        <w:t xml:space="preserve">, which permitted a </w:t>
      </w:r>
      <w:r w:rsidR="000D55D0" w:rsidRPr="000D55D0">
        <w:t>mor</w:t>
      </w:r>
      <w:r w:rsidR="00F2307B">
        <w:t>e</w:t>
      </w:r>
      <w:r w:rsidR="006328E2">
        <w:t xml:space="preserve"> focused </w:t>
      </w:r>
      <w:r>
        <w:t>display of public spectacle within the city</w:t>
      </w:r>
      <w:r w:rsidR="000D55D0" w:rsidRPr="000D55D0">
        <w:t xml:space="preserve">, and secondly by the increasing extravagance of the festival event itself, through the construction of highly elaborate </w:t>
      </w:r>
      <w:r w:rsidR="00906420">
        <w:t>set pieces (</w:t>
      </w:r>
      <w:r w:rsidR="00F05FDF" w:rsidRPr="00F05FDF">
        <w:rPr>
          <w:i/>
        </w:rPr>
        <w:t>macchine</w:t>
      </w:r>
      <w:r w:rsidR="00F05FDF">
        <w:t>)</w:t>
      </w:r>
      <w:r w:rsidR="00C53693">
        <w:t>.</w:t>
      </w:r>
      <w:r w:rsidR="00C53693">
        <w:rPr>
          <w:rStyle w:val="EndnoteReference"/>
        </w:rPr>
        <w:endnoteReference w:id="26"/>
      </w:r>
      <w:r w:rsidR="006315E6">
        <w:t xml:space="preserve"> </w:t>
      </w:r>
    </w:p>
    <w:p w14:paraId="245258BF" w14:textId="77777777" w:rsidR="00427223" w:rsidRDefault="003E6B21" w:rsidP="00427223">
      <w:pPr>
        <w:pStyle w:val="Newparagraph"/>
        <w:rPr>
          <w:color w:val="FF0000"/>
        </w:rPr>
      </w:pPr>
      <w:r>
        <w:t>A conspicuous feature of these changes is what I describe as an ‘exotic turn</w:t>
      </w:r>
      <w:r w:rsidR="00D10E2E">
        <w:t>’</w:t>
      </w:r>
      <w:r>
        <w:t xml:space="preserve">, a term that probably requires </w:t>
      </w:r>
      <w:r w:rsidR="007514DE">
        <w:t xml:space="preserve">some </w:t>
      </w:r>
      <w:r>
        <w:t>explanation.</w:t>
      </w:r>
      <w:r w:rsidR="00167F70">
        <w:t xml:space="preserve"> </w:t>
      </w:r>
      <w:r w:rsidR="007514DE">
        <w:t xml:space="preserve">According to the </w:t>
      </w:r>
      <w:r w:rsidR="007514DE" w:rsidRPr="007514DE">
        <w:rPr>
          <w:i/>
        </w:rPr>
        <w:t>Oxford Concise English Dictionary</w:t>
      </w:r>
      <w:r w:rsidR="007514DE">
        <w:t>, ‘exotic’ refers to something that has been introduced from</w:t>
      </w:r>
      <w:r w:rsidR="00B05BD2">
        <w:t>, or originated</w:t>
      </w:r>
      <w:r w:rsidR="007514DE">
        <w:t xml:space="preserve"> in</w:t>
      </w:r>
      <w:r w:rsidR="00B05BD2">
        <w:t>,</w:t>
      </w:r>
      <w:r w:rsidR="007514DE">
        <w:t xml:space="preserve"> “a foreign country” or something that is “attractively or remarkably strange or unusual”; in essence something </w:t>
      </w:r>
      <w:r w:rsidR="00203AC4">
        <w:t>“</w:t>
      </w:r>
      <w:r w:rsidR="007514DE">
        <w:t>bizarre</w:t>
      </w:r>
      <w:r w:rsidR="00203AC4">
        <w:t>”</w:t>
      </w:r>
      <w:r w:rsidR="007514DE">
        <w:t>.</w:t>
      </w:r>
      <w:r>
        <w:t xml:space="preserve"> </w:t>
      </w:r>
      <w:r w:rsidR="007514DE">
        <w:t>During the period of the Enlightenment (17</w:t>
      </w:r>
      <w:r w:rsidR="007514DE" w:rsidRPr="007514DE">
        <w:rPr>
          <w:vertAlign w:val="superscript"/>
        </w:rPr>
        <w:t>th</w:t>
      </w:r>
      <w:r w:rsidR="007514DE">
        <w:t xml:space="preserve"> and 18</w:t>
      </w:r>
      <w:r w:rsidR="007514DE" w:rsidRPr="007514DE">
        <w:rPr>
          <w:vertAlign w:val="superscript"/>
        </w:rPr>
        <w:t>th</w:t>
      </w:r>
      <w:r w:rsidR="007514DE">
        <w:t xml:space="preserve"> centuries), there was increasing fascination in bizarre</w:t>
      </w:r>
      <w:r w:rsidR="003315F7">
        <w:t xml:space="preserve"> or extraordinary</w:t>
      </w:r>
      <w:r w:rsidR="007514DE">
        <w:t xml:space="preserve"> discover</w:t>
      </w:r>
      <w:r w:rsidR="003315F7">
        <w:t>ies and</w:t>
      </w:r>
      <w:r w:rsidR="007514DE">
        <w:t xml:space="preserve"> encounters</w:t>
      </w:r>
      <w:r w:rsidR="003315F7">
        <w:t xml:space="preserve">, </w:t>
      </w:r>
      <w:r w:rsidR="007514DE">
        <w:t xml:space="preserve">from empirical experiments and </w:t>
      </w:r>
      <w:r w:rsidR="00203AC4">
        <w:t xml:space="preserve">the exhibit of </w:t>
      </w:r>
      <w:r w:rsidR="007514DE">
        <w:t>ethnic objects to</w:t>
      </w:r>
      <w:r w:rsidR="003315F7">
        <w:t xml:space="preserve"> the experience of sublime landscapes (whether natural or man-made). The ‘foreign’ (however fabricated or manicured) constituted a desirable aspect of 18</w:t>
      </w:r>
      <w:r w:rsidR="003315F7" w:rsidRPr="003315F7">
        <w:rPr>
          <w:vertAlign w:val="superscript"/>
        </w:rPr>
        <w:t>th</w:t>
      </w:r>
      <w:r w:rsidR="003315F7">
        <w:t xml:space="preserve"> century European society, as we see for example in the proliferation of </w:t>
      </w:r>
      <w:r w:rsidR="003315F7" w:rsidRPr="003315F7">
        <w:rPr>
          <w:i/>
        </w:rPr>
        <w:t>Chinoiserie</w:t>
      </w:r>
      <w:r w:rsidR="003315F7">
        <w:t xml:space="preserve"> in private collections </w:t>
      </w:r>
      <w:r w:rsidR="00B05BD2">
        <w:t>that reflected</w:t>
      </w:r>
      <w:r w:rsidR="003315F7">
        <w:t xml:space="preserve"> an imagined Chinese artistic sensibility. It is in the context of this search for the exotic that the transformations in the design and purpose of the Festa della Chinea become most interesting.   </w:t>
      </w:r>
      <w:r w:rsidR="007514DE">
        <w:t xml:space="preserve">  </w:t>
      </w:r>
      <w:r>
        <w:t xml:space="preserve"> </w:t>
      </w:r>
    </w:p>
    <w:p w14:paraId="06235163" w14:textId="77777777" w:rsidR="006202AF" w:rsidRDefault="0068397D" w:rsidP="006202AF">
      <w:pPr>
        <w:pStyle w:val="Newparagraph"/>
      </w:pPr>
      <w:r w:rsidRPr="00427223">
        <w:rPr>
          <w:color w:val="FF0000"/>
        </w:rPr>
        <w:t xml:space="preserve"> </w:t>
      </w:r>
      <w:r w:rsidR="00495572">
        <w:t xml:space="preserve">The culmination </w:t>
      </w:r>
      <w:r w:rsidR="00495572" w:rsidRPr="000D55D0">
        <w:t xml:space="preserve">of the </w:t>
      </w:r>
      <w:r w:rsidR="00495572">
        <w:t xml:space="preserve">two-day festivities of the Chinea </w:t>
      </w:r>
      <w:r>
        <w:t xml:space="preserve">was </w:t>
      </w:r>
      <w:r w:rsidR="000D55D0" w:rsidRPr="000D55D0">
        <w:t>a major firework display</w:t>
      </w:r>
      <w:r w:rsidR="00495572">
        <w:t>,</w:t>
      </w:r>
      <w:r w:rsidR="000D55D0" w:rsidRPr="000D55D0">
        <w:t xml:space="preserve"> wh</w:t>
      </w:r>
      <w:r>
        <w:t>ich also became a common spectacle</w:t>
      </w:r>
      <w:r w:rsidR="000B2D89">
        <w:t xml:space="preserve"> of </w:t>
      </w:r>
      <w:r w:rsidR="000D55D0" w:rsidRPr="000D55D0">
        <w:t xml:space="preserve">other similar </w:t>
      </w:r>
      <w:r>
        <w:t xml:space="preserve">festival </w:t>
      </w:r>
      <w:r w:rsidR="000D55D0" w:rsidRPr="000D55D0">
        <w:t xml:space="preserve">events in late Baroque Rome. These public </w:t>
      </w:r>
      <w:r w:rsidR="00D10E2E">
        <w:t xml:space="preserve">pyrotechnic </w:t>
      </w:r>
      <w:r w:rsidR="000D55D0" w:rsidRPr="000D55D0">
        <w:t>displays were focused on the Piazza Farnese, fronting the east façade of the pala</w:t>
      </w:r>
      <w:r w:rsidR="000B2D89">
        <w:t xml:space="preserve">ce which was </w:t>
      </w:r>
      <w:r w:rsidR="00F05FDF">
        <w:t>adorned with temporary balconies</w:t>
      </w:r>
      <w:r w:rsidR="00495572">
        <w:t xml:space="preserve"> that provided</w:t>
      </w:r>
      <w:r w:rsidR="00542E5C">
        <w:t xml:space="preserve"> a </w:t>
      </w:r>
      <w:r w:rsidR="006328E2">
        <w:t xml:space="preserve">privileged </w:t>
      </w:r>
      <w:r w:rsidR="00495572">
        <w:t>vantage point from which to view</w:t>
      </w:r>
      <w:r w:rsidR="002D1312">
        <w:t xml:space="preserve"> the ‘</w:t>
      </w:r>
      <w:r w:rsidR="00542E5C">
        <w:t>p</w:t>
      </w:r>
      <w:r w:rsidR="00542E5C" w:rsidRPr="00542E5C">
        <w:t>alco allestito</w:t>
      </w:r>
      <w:r w:rsidR="002D1312">
        <w:t>’ (staged event)</w:t>
      </w:r>
      <w:r w:rsidR="00542E5C" w:rsidRPr="00542E5C">
        <w:t xml:space="preserve"> </w:t>
      </w:r>
      <w:r w:rsidR="002D1312">
        <w:t>below</w:t>
      </w:r>
      <w:r>
        <w:t>. The set pieces</w:t>
      </w:r>
      <w:r w:rsidR="002D1312">
        <w:t>,</w:t>
      </w:r>
      <w:r w:rsidR="000D55D0" w:rsidRPr="000D55D0">
        <w:t xml:space="preserve"> </w:t>
      </w:r>
      <w:r w:rsidR="00542E5C">
        <w:t xml:space="preserve">or </w:t>
      </w:r>
      <w:r w:rsidR="002D1312">
        <w:t xml:space="preserve">temporary </w:t>
      </w:r>
      <w:r w:rsidR="00542E5C">
        <w:t>installations</w:t>
      </w:r>
      <w:r w:rsidR="002D1312">
        <w:t>,</w:t>
      </w:r>
      <w:r w:rsidR="00542E5C">
        <w:t xml:space="preserve"> </w:t>
      </w:r>
      <w:r w:rsidR="006328E2">
        <w:t>in</w:t>
      </w:r>
      <w:r w:rsidR="00542E5C">
        <w:t xml:space="preserve"> the piazza </w:t>
      </w:r>
      <w:r w:rsidR="000D55D0" w:rsidRPr="000D55D0">
        <w:t xml:space="preserve">were based on a series of themes conceived by a committee of organisers, </w:t>
      </w:r>
      <w:r w:rsidR="006328E2">
        <w:t>located</w:t>
      </w:r>
      <w:r w:rsidR="00CA0276">
        <w:t xml:space="preserve"> </w:t>
      </w:r>
      <w:r w:rsidR="000D55D0" w:rsidRPr="000D55D0">
        <w:t xml:space="preserve">in the Palazzo Farnese, who also held an annual design competition. By the mid-18th </w:t>
      </w:r>
      <w:r w:rsidR="00495572">
        <w:t>century, we get a distinct impression</w:t>
      </w:r>
      <w:r w:rsidR="000D55D0" w:rsidRPr="000D55D0">
        <w:t xml:space="preserve"> that these </w:t>
      </w:r>
      <w:r w:rsidR="000D55D0" w:rsidRPr="00F05FDF">
        <w:rPr>
          <w:i/>
        </w:rPr>
        <w:t>macchine</w:t>
      </w:r>
      <w:r w:rsidR="000D55D0" w:rsidRPr="000D55D0">
        <w:t xml:space="preserve"> take precedence over the Chinea procession</w:t>
      </w:r>
      <w:r w:rsidR="00F05FDF">
        <w:t xml:space="preserve"> itself</w:t>
      </w:r>
      <w:r w:rsidR="006328E2">
        <w:t xml:space="preserve"> and its equine symbolism</w:t>
      </w:r>
      <w:r w:rsidR="000D55D0" w:rsidRPr="000D55D0">
        <w:t xml:space="preserve">, </w:t>
      </w:r>
      <w:r w:rsidR="00F05FDF">
        <w:t>by dominating the spectacle with their</w:t>
      </w:r>
      <w:r w:rsidR="00542E5C">
        <w:t xml:space="preserve"> architectural </w:t>
      </w:r>
      <w:r w:rsidR="00542E5C" w:rsidRPr="00012523">
        <w:rPr>
          <w:i/>
        </w:rPr>
        <w:t>invenzione</w:t>
      </w:r>
      <w:r w:rsidR="00542E5C">
        <w:t xml:space="preserve"> and</w:t>
      </w:r>
      <w:r w:rsidR="000D55D0" w:rsidRPr="000D55D0">
        <w:t xml:space="preserve"> bombastic pyrotechnic climax</w:t>
      </w:r>
      <w:r w:rsidR="00F05FDF">
        <w:t>es</w:t>
      </w:r>
      <w:r w:rsidR="000D55D0" w:rsidRPr="000D55D0">
        <w:t xml:space="preserve">. </w:t>
      </w:r>
      <w:r w:rsidR="00495572">
        <w:t>This dominating influence of spectacle was in many ways characteristic of the ‘exotic turn’ I referred to earlier, in the way extravagance and subliminal emotions are prioritised</w:t>
      </w:r>
      <w:r w:rsidR="00A84F10">
        <w:t xml:space="preserve"> at the expense of participatory experience in religious or civic events.</w:t>
      </w:r>
      <w:r w:rsidR="00495572">
        <w:t xml:space="preserve"> </w:t>
      </w:r>
      <w:r w:rsidR="000D55D0" w:rsidRPr="000D55D0">
        <w:t xml:space="preserve">Many of the themes </w:t>
      </w:r>
      <w:r w:rsidR="00F05FDF">
        <w:t xml:space="preserve">of </w:t>
      </w:r>
      <w:r w:rsidR="000D55D0" w:rsidRPr="000D55D0">
        <w:t xml:space="preserve">the Festa della Chinea were conceived </w:t>
      </w:r>
      <w:r w:rsidR="0029435A">
        <w:t xml:space="preserve">around </w:t>
      </w:r>
      <w:r w:rsidR="00012523">
        <w:t xml:space="preserve">the idea of </w:t>
      </w:r>
      <w:r w:rsidR="0029435A">
        <w:t>reinventing the</w:t>
      </w:r>
      <w:r w:rsidR="000D55D0" w:rsidRPr="000D55D0">
        <w:t xml:space="preserve"> urban topograp</w:t>
      </w:r>
      <w:r w:rsidR="00F05FDF">
        <w:t>hy</w:t>
      </w:r>
      <w:r w:rsidR="00012523">
        <w:t xml:space="preserve"> of the city</w:t>
      </w:r>
      <w:r w:rsidR="00F05FDF">
        <w:t xml:space="preserve"> through </w:t>
      </w:r>
      <w:r w:rsidR="000D55D0" w:rsidRPr="00F05FDF">
        <w:rPr>
          <w:i/>
        </w:rPr>
        <w:t>capriccio</w:t>
      </w:r>
      <w:r w:rsidR="00F05FDF">
        <w:t xml:space="preserve">, such as </w:t>
      </w:r>
      <w:r>
        <w:t>the construction of a</w:t>
      </w:r>
      <w:r w:rsidR="00F05FDF">
        <w:t xml:space="preserve"> miniature</w:t>
      </w:r>
      <w:r>
        <w:t xml:space="preserve"> </w:t>
      </w:r>
      <w:r w:rsidR="00F05FDF">
        <w:t>Mount Vesuvius</w:t>
      </w:r>
      <w:r>
        <w:t xml:space="preserve"> with smoking crater</w:t>
      </w:r>
      <w:r w:rsidR="00F05FDF">
        <w:t xml:space="preserve"> </w:t>
      </w:r>
      <w:r w:rsidR="00012523">
        <w:t>or</w:t>
      </w:r>
      <w:r w:rsidR="00F05FDF">
        <w:t xml:space="preserve"> a Chinese tea-house with pagodas.</w:t>
      </w:r>
      <w:r w:rsidR="000D55D0" w:rsidRPr="000D55D0">
        <w:t xml:space="preserve"> </w:t>
      </w:r>
      <w:r w:rsidR="00F05FDF">
        <w:t>I</w:t>
      </w:r>
      <w:r w:rsidR="009C2681">
        <w:t xml:space="preserve">n many ways </w:t>
      </w:r>
      <w:r w:rsidR="00F05FDF">
        <w:t xml:space="preserve">these </w:t>
      </w:r>
      <w:r w:rsidR="00F05FDF" w:rsidRPr="00F05FDF">
        <w:rPr>
          <w:i/>
        </w:rPr>
        <w:t>macchine</w:t>
      </w:r>
      <w:r w:rsidR="009C2681">
        <w:t>, which are recorded i</w:t>
      </w:r>
      <w:r w:rsidR="00A84F10">
        <w:t>n a series of prints, serve as</w:t>
      </w:r>
      <w:r w:rsidR="009C2681">
        <w:t xml:space="preserve"> testimony to </w:t>
      </w:r>
      <w:r w:rsidR="000D55D0" w:rsidRPr="000D55D0">
        <w:t xml:space="preserve">a </w:t>
      </w:r>
      <w:r>
        <w:t xml:space="preserve">decisive </w:t>
      </w:r>
      <w:r w:rsidR="000D55D0" w:rsidRPr="000D55D0">
        <w:t xml:space="preserve">shift in the meaning of </w:t>
      </w:r>
      <w:r w:rsidR="009C2681">
        <w:t>the Festa della Chinea</w:t>
      </w:r>
      <w:r>
        <w:t xml:space="preserve">, </w:t>
      </w:r>
      <w:r w:rsidRPr="000D55D0">
        <w:t>from</w:t>
      </w:r>
      <w:r w:rsidR="000D55D0" w:rsidRPr="000D55D0">
        <w:t xml:space="preserve"> a ritualistic even</w:t>
      </w:r>
      <w:r>
        <w:t>t (</w:t>
      </w:r>
      <w:r w:rsidR="000D55D0" w:rsidRPr="000D55D0">
        <w:t>with its relig</w:t>
      </w:r>
      <w:r w:rsidR="002E53E1">
        <w:t>ious</w:t>
      </w:r>
      <w:r w:rsidR="00A84F10">
        <w:t>, civic</w:t>
      </w:r>
      <w:r w:rsidR="002E53E1">
        <w:t xml:space="preserve"> and political meanings</w:t>
      </w:r>
      <w:r>
        <w:t>)</w:t>
      </w:r>
      <w:r w:rsidR="000D55D0" w:rsidRPr="000D55D0">
        <w:t xml:space="preserve">, to </w:t>
      </w:r>
      <w:r w:rsidR="00012523">
        <w:t xml:space="preserve">a </w:t>
      </w:r>
      <w:r w:rsidR="000D55D0" w:rsidRPr="000D55D0">
        <w:t>pure aesthetic spectacle.</w:t>
      </w:r>
    </w:p>
    <w:p w14:paraId="13F5E6B5" w14:textId="77777777" w:rsidR="006202AF" w:rsidRDefault="006202AF" w:rsidP="006202AF">
      <w:pPr>
        <w:pStyle w:val="Newparagraph"/>
      </w:pPr>
    </w:p>
    <w:p w14:paraId="5BA079E1" w14:textId="77777777" w:rsidR="006202AF" w:rsidRDefault="006202AF" w:rsidP="00A97983">
      <w:pPr>
        <w:pStyle w:val="Newparagraph"/>
        <w:spacing w:line="360" w:lineRule="auto"/>
        <w:jc w:val="both"/>
      </w:pPr>
      <w:r>
        <w:rPr>
          <w:noProof/>
        </w:rPr>
        <w:drawing>
          <wp:inline distT="0" distB="0" distL="0" distR="0" wp14:anchorId="3A824D34" wp14:editId="33D88647">
            <wp:extent cx="4781550" cy="3146732"/>
            <wp:effectExtent l="0" t="0" r="0" b="0"/>
            <wp:docPr id="21507" name="Picture 3">
              <a:extLst xmlns:a="http://schemas.openxmlformats.org/drawingml/2006/main">
                <a:ext uri="{FF2B5EF4-FFF2-40B4-BE49-F238E27FC236}">
                  <a16:creationId xmlns:a16="http://schemas.microsoft.com/office/drawing/2014/main" id="{3DF8E42F-7788-452B-851D-DB2EA728D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a:extLst>
                        <a:ext uri="{FF2B5EF4-FFF2-40B4-BE49-F238E27FC236}">
                          <a16:creationId xmlns:a16="http://schemas.microsoft.com/office/drawing/2014/main" id="{3DF8E42F-7788-452B-851D-DB2EA728DC4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4028" cy="3161524"/>
                    </a:xfrm>
                    <a:prstGeom prst="rect">
                      <a:avLst/>
                    </a:prstGeom>
                    <a:noFill/>
                    <a:ln>
                      <a:noFill/>
                    </a:ln>
                  </pic:spPr>
                </pic:pic>
              </a:graphicData>
            </a:graphic>
          </wp:inline>
        </w:drawing>
      </w:r>
    </w:p>
    <w:p w14:paraId="36709B8F" w14:textId="77777777" w:rsidR="006202AF" w:rsidRPr="004F504E" w:rsidRDefault="006202AF" w:rsidP="006202AF">
      <w:pPr>
        <w:pStyle w:val="Newparagraph"/>
        <w:spacing w:line="360" w:lineRule="auto"/>
        <w:ind w:firstLine="0"/>
        <w:jc w:val="both"/>
        <w:rPr>
          <w:b/>
        </w:rPr>
      </w:pPr>
      <w:r w:rsidRPr="004F504E">
        <w:rPr>
          <w:b/>
        </w:rPr>
        <w:t xml:space="preserve">Figure 4: </w:t>
      </w:r>
      <w:r w:rsidR="004F504E" w:rsidRPr="004F504E">
        <w:rPr>
          <w:b/>
        </w:rPr>
        <w:t>View of the 2</w:t>
      </w:r>
      <w:r w:rsidR="004F504E" w:rsidRPr="004F504E">
        <w:rPr>
          <w:b/>
          <w:vertAlign w:val="superscript"/>
        </w:rPr>
        <w:t>nd</w:t>
      </w:r>
      <w:r w:rsidR="004F504E" w:rsidRPr="004F504E">
        <w:rPr>
          <w:b/>
        </w:rPr>
        <w:t xml:space="preserve"> </w:t>
      </w:r>
      <w:r w:rsidR="004F504E" w:rsidRPr="004F504E">
        <w:rPr>
          <w:b/>
          <w:i/>
        </w:rPr>
        <w:t>macchina</w:t>
      </w:r>
      <w:r w:rsidR="004F504E" w:rsidRPr="004F504E">
        <w:rPr>
          <w:b/>
        </w:rPr>
        <w:t xml:space="preserve"> erected for the Festa della Chinea on </w:t>
      </w:r>
      <w:r w:rsidR="00987815">
        <w:rPr>
          <w:b/>
        </w:rPr>
        <w:t>8</w:t>
      </w:r>
      <w:r w:rsidR="004F504E" w:rsidRPr="004F504E">
        <w:rPr>
          <w:b/>
          <w:vertAlign w:val="superscript"/>
        </w:rPr>
        <w:t>th</w:t>
      </w:r>
      <w:r w:rsidR="004F504E" w:rsidRPr="004F504E">
        <w:rPr>
          <w:b/>
        </w:rPr>
        <w:t xml:space="preserve"> September 1758</w:t>
      </w:r>
      <w:r w:rsidR="004F504E">
        <w:rPr>
          <w:b/>
        </w:rPr>
        <w:t>,</w:t>
      </w:r>
      <w:r w:rsidR="004F504E" w:rsidRPr="004F504E">
        <w:rPr>
          <w:b/>
        </w:rPr>
        <w:t xml:space="preserve"> showing aspects of chinoiserie in 18</w:t>
      </w:r>
      <w:r w:rsidR="004F504E" w:rsidRPr="004F504E">
        <w:rPr>
          <w:b/>
          <w:vertAlign w:val="superscript"/>
        </w:rPr>
        <w:t>th</w:t>
      </w:r>
      <w:r w:rsidR="004F504E" w:rsidRPr="004F504E">
        <w:rPr>
          <w:b/>
        </w:rPr>
        <w:t xml:space="preserve"> century Rome including a reconstruction of the Nanking Pagoda. Designed by Paolo Posi and Giuseppe Palazzi. Engraving taken from the </w:t>
      </w:r>
      <w:r w:rsidR="004F504E" w:rsidRPr="004F504E">
        <w:rPr>
          <w:b/>
          <w:i/>
        </w:rPr>
        <w:t>Raccolta di tutte le Machine de Fuochi Artifiziali</w:t>
      </w:r>
      <w:r w:rsidR="004F504E" w:rsidRPr="004F504E">
        <w:rPr>
          <w:b/>
        </w:rPr>
        <w:t xml:space="preserve"> (plate 74), Biblioteca Casanatense, Rome </w:t>
      </w:r>
    </w:p>
    <w:p w14:paraId="190C893B" w14:textId="77777777" w:rsidR="006202AF" w:rsidRDefault="006202AF" w:rsidP="006F5329">
      <w:pPr>
        <w:pStyle w:val="Newparagraph"/>
        <w:spacing w:line="360" w:lineRule="auto"/>
        <w:jc w:val="both"/>
      </w:pPr>
    </w:p>
    <w:p w14:paraId="10F94C77" w14:textId="77777777" w:rsidR="001026D7" w:rsidRDefault="0027687B" w:rsidP="006F5329">
      <w:pPr>
        <w:pStyle w:val="Newparagraph"/>
        <w:spacing w:line="360" w:lineRule="auto"/>
        <w:jc w:val="both"/>
      </w:pPr>
      <w:r>
        <w:t>The organisational demands of the bi-annual Festa della Chinea, during the 18</w:t>
      </w:r>
      <w:r w:rsidRPr="0027687B">
        <w:rPr>
          <w:vertAlign w:val="superscript"/>
        </w:rPr>
        <w:t>th</w:t>
      </w:r>
      <w:r>
        <w:t xml:space="preserve"> century, are attested by a series of detailed etchings of the design and construction of the </w:t>
      </w:r>
      <w:r>
        <w:rPr>
          <w:i/>
        </w:rPr>
        <w:t>mac</w:t>
      </w:r>
      <w:r w:rsidR="00C87678">
        <w:rPr>
          <w:i/>
        </w:rPr>
        <w:t>c</w:t>
      </w:r>
      <w:r>
        <w:rPr>
          <w:i/>
        </w:rPr>
        <w:t>hine</w:t>
      </w:r>
      <w:r>
        <w:t xml:space="preserve">. This valuable record demonstrates the planning involved, and expertise needed, in hosting </w:t>
      </w:r>
      <w:r w:rsidR="00D36803">
        <w:t>such a major event</w:t>
      </w:r>
      <w:r>
        <w:t>. Whilst in the Renaissance</w:t>
      </w:r>
      <w:r w:rsidR="00981D58">
        <w:t>,</w:t>
      </w:r>
      <w:r>
        <w:t xml:space="preserve"> th</w:t>
      </w:r>
      <w:r w:rsidR="001372D0">
        <w:t xml:space="preserve">ose involved in </w:t>
      </w:r>
      <w:r w:rsidR="00981D58">
        <w:t xml:space="preserve">the </w:t>
      </w:r>
      <w:r w:rsidR="001372D0">
        <w:t>design and fabricat</w:t>
      </w:r>
      <w:r w:rsidR="00981D58">
        <w:t>ion of</w:t>
      </w:r>
      <w:r w:rsidR="001372D0">
        <w:t xml:space="preserve"> architectural ephemera</w:t>
      </w:r>
      <w:r w:rsidR="00192540">
        <w:t xml:space="preserve"> for the festival</w:t>
      </w:r>
      <w:r w:rsidR="00D36803">
        <w:t xml:space="preserve"> (as was also the case with other similar events such as the Festa di Agone in Piazza Navona)</w:t>
      </w:r>
      <w:r w:rsidR="001372D0">
        <w:t xml:space="preserve"> were primarily </w:t>
      </w:r>
      <w:r w:rsidR="00981D58">
        <w:t>Italian artists and craftsmen, by the early 18</w:t>
      </w:r>
      <w:r w:rsidR="00981D58" w:rsidRPr="00981D58">
        <w:rPr>
          <w:vertAlign w:val="superscript"/>
        </w:rPr>
        <w:t>th</w:t>
      </w:r>
      <w:r w:rsidR="00981D58">
        <w:t xml:space="preserve"> centur</w:t>
      </w:r>
      <w:r w:rsidR="00D36803">
        <w:t>y</w:t>
      </w:r>
      <w:r w:rsidR="00981D58">
        <w:t xml:space="preserve"> this responsibility was increasing </w:t>
      </w:r>
      <w:r w:rsidR="008257CA">
        <w:t xml:space="preserve">given </w:t>
      </w:r>
      <w:r w:rsidR="00981D58">
        <w:t>to foreign</w:t>
      </w:r>
      <w:r w:rsidR="00D36803">
        <w:t xml:space="preserve"> residents, </w:t>
      </w:r>
      <w:r w:rsidR="00981D58">
        <w:t xml:space="preserve">mainly </w:t>
      </w:r>
      <w:r w:rsidR="00D36803" w:rsidRPr="00D36803">
        <w:rPr>
          <w:i/>
        </w:rPr>
        <w:t>pensionnaires</w:t>
      </w:r>
      <w:r w:rsidR="00981D58" w:rsidRPr="00D36803">
        <w:rPr>
          <w:i/>
        </w:rPr>
        <w:t xml:space="preserve"> </w:t>
      </w:r>
      <w:r w:rsidR="00EF0D9F">
        <w:t xml:space="preserve">based </w:t>
      </w:r>
      <w:r w:rsidR="00981D58">
        <w:t>at the French Academy</w:t>
      </w:r>
      <w:r w:rsidR="00D36803">
        <w:t xml:space="preserve"> </w:t>
      </w:r>
      <w:r w:rsidR="00C87678">
        <w:t>and</w:t>
      </w:r>
      <w:r w:rsidR="00D36803">
        <w:t xml:space="preserve"> </w:t>
      </w:r>
      <w:r w:rsidR="00EF0D9F" w:rsidRPr="00EF0D9F">
        <w:t xml:space="preserve">itinerant artists </w:t>
      </w:r>
      <w:r w:rsidR="00D36803">
        <w:t>visit</w:t>
      </w:r>
      <w:r w:rsidR="00EF0D9F">
        <w:t xml:space="preserve">ing </w:t>
      </w:r>
      <w:r w:rsidR="00D36803">
        <w:t>the Holy City</w:t>
      </w:r>
      <w:r w:rsidR="00981D58">
        <w:t xml:space="preserve">. </w:t>
      </w:r>
      <w:r w:rsidR="008257CA">
        <w:t xml:space="preserve">The change, moreover, reflects a more </w:t>
      </w:r>
      <w:r w:rsidR="00192540">
        <w:t>general</w:t>
      </w:r>
      <w:r w:rsidR="008257CA">
        <w:t xml:space="preserve"> transformation in the status and meaning of Rome </w:t>
      </w:r>
      <w:r w:rsidR="004F504E">
        <w:t xml:space="preserve">itself </w:t>
      </w:r>
      <w:r w:rsidR="00192540">
        <w:t>during this time, from its</w:t>
      </w:r>
      <w:r w:rsidR="00D36803">
        <w:t xml:space="preserve"> </w:t>
      </w:r>
      <w:r w:rsidR="00C87678">
        <w:t>historical</w:t>
      </w:r>
      <w:r w:rsidR="00192540">
        <w:t xml:space="preserve"> role as the </w:t>
      </w:r>
      <w:r w:rsidR="008257CA">
        <w:t>centre of</w:t>
      </w:r>
      <w:r w:rsidR="00192540">
        <w:t xml:space="preserve"> </w:t>
      </w:r>
      <w:r w:rsidR="00D36803">
        <w:t xml:space="preserve">Roman </w:t>
      </w:r>
      <w:r w:rsidR="00192540">
        <w:t xml:space="preserve">Christendom </w:t>
      </w:r>
      <w:r w:rsidR="004F504E">
        <w:t>(</w:t>
      </w:r>
      <w:r w:rsidR="00D36803">
        <w:t>and therefore destination of pilgrims</w:t>
      </w:r>
      <w:r w:rsidR="004F504E">
        <w:t>)</w:t>
      </w:r>
      <w:r w:rsidR="00D36803">
        <w:t>,</w:t>
      </w:r>
      <w:r w:rsidR="00192540">
        <w:t xml:space="preserve"> to a museum of cultural artefacts </w:t>
      </w:r>
      <w:r w:rsidR="00D36803">
        <w:t>that</w:t>
      </w:r>
      <w:r w:rsidR="00192540">
        <w:t xml:space="preserve"> served as the </w:t>
      </w:r>
      <w:r w:rsidR="00D36803">
        <w:t>c</w:t>
      </w:r>
      <w:r w:rsidR="00192540">
        <w:t xml:space="preserve">ulmination of </w:t>
      </w:r>
      <w:r w:rsidR="00D36803">
        <w:t xml:space="preserve">the Grand Tour for artists and </w:t>
      </w:r>
      <w:r w:rsidR="007C638D">
        <w:t>tourists</w:t>
      </w:r>
      <w:r w:rsidR="00192540">
        <w:t>.</w:t>
      </w:r>
      <w:r>
        <w:t xml:space="preserve"> </w:t>
      </w:r>
      <w:r w:rsidR="000A1666">
        <w:t>Importantly, t</w:t>
      </w:r>
      <w:r w:rsidR="007C638D">
        <w:t xml:space="preserve">he Festa della Chinea became one of the </w:t>
      </w:r>
      <w:r w:rsidR="00D36803">
        <w:t>main</w:t>
      </w:r>
      <w:r w:rsidR="007C638D">
        <w:t xml:space="preserve"> spectacles in the itinerary of the Grand Tour</w:t>
      </w:r>
      <w:r w:rsidR="00EF0D9F">
        <w:t xml:space="preserve">, </w:t>
      </w:r>
      <w:r w:rsidR="00C87678">
        <w:t>which</w:t>
      </w:r>
      <w:r w:rsidR="00EF0D9F">
        <w:t xml:space="preserve"> also formed part of a more general initiative to periodically transform the Holy City into a theatrical stage set. A</w:t>
      </w:r>
      <w:r w:rsidR="004F504E">
        <w:t>nother</w:t>
      </w:r>
      <w:r w:rsidR="00EF0D9F">
        <w:t xml:space="preserve"> prime example of this</w:t>
      </w:r>
      <w:r w:rsidR="004F504E">
        <w:t xml:space="preserve"> tran</w:t>
      </w:r>
      <w:r w:rsidR="009F193F">
        <w:t>s</w:t>
      </w:r>
      <w:r w:rsidR="004F504E">
        <w:t>formation</w:t>
      </w:r>
      <w:r w:rsidR="00EF0D9F">
        <w:t xml:space="preserve"> can be seen in the annual carnival, such as the one held in 1735 when a series of floats were paraded through </w:t>
      </w:r>
      <w:r w:rsidR="000A1666">
        <w:t xml:space="preserve">the streets of </w:t>
      </w:r>
      <w:r w:rsidR="00EF0D9F">
        <w:t>Rome</w:t>
      </w:r>
      <w:r w:rsidR="006F5329">
        <w:t xml:space="preserve"> </w:t>
      </w:r>
      <w:r w:rsidR="00EF0D9F">
        <w:t xml:space="preserve">modelled on </w:t>
      </w:r>
      <w:r w:rsidR="0028172C">
        <w:t xml:space="preserve">an </w:t>
      </w:r>
      <w:r w:rsidR="00EF0D9F">
        <w:t xml:space="preserve">earlier pseudo-Chinese </w:t>
      </w:r>
      <w:r w:rsidR="000A1666">
        <w:t xml:space="preserve">barge used for a Venetian </w:t>
      </w:r>
      <w:r w:rsidR="00EF0D9F">
        <w:t xml:space="preserve">regatta </w:t>
      </w:r>
      <w:r w:rsidR="000A1666">
        <w:t>in 1716</w:t>
      </w:r>
      <w:r w:rsidR="001026D7">
        <w:t>.</w:t>
      </w:r>
      <w:r w:rsidR="001026D7">
        <w:rPr>
          <w:rStyle w:val="EndnoteReference"/>
        </w:rPr>
        <w:endnoteReference w:id="27"/>
      </w:r>
    </w:p>
    <w:p w14:paraId="46F73544" w14:textId="77777777" w:rsidR="009A746E" w:rsidRDefault="000A1666" w:rsidP="00634BE0">
      <w:pPr>
        <w:pStyle w:val="Newparagraph"/>
        <w:spacing w:line="360" w:lineRule="auto"/>
        <w:jc w:val="both"/>
      </w:pPr>
      <w:r>
        <w:t xml:space="preserve">This exotic </w:t>
      </w:r>
      <w:r w:rsidR="00C87678">
        <w:t>feature</w:t>
      </w:r>
      <w:r>
        <w:t xml:space="preserve"> of festival</w:t>
      </w:r>
      <w:r w:rsidR="00C87678">
        <w:t>s</w:t>
      </w:r>
      <w:r w:rsidR="00C17325">
        <w:t xml:space="preserve"> during the 18</w:t>
      </w:r>
      <w:r w:rsidR="00C17325" w:rsidRPr="00C17325">
        <w:rPr>
          <w:vertAlign w:val="superscript"/>
        </w:rPr>
        <w:t>th</w:t>
      </w:r>
      <w:r w:rsidR="00C17325">
        <w:t xml:space="preserve"> century</w:t>
      </w:r>
      <w:r>
        <w:t xml:space="preserve"> reaches a climax in </w:t>
      </w:r>
      <w:r w:rsidR="00F7784E">
        <w:t>the masquerade held in</w:t>
      </w:r>
      <w:r w:rsidR="006F5329">
        <w:t xml:space="preserve"> 1751. Recorded in a very long painting by Jean Barbault (1718-1762</w:t>
      </w:r>
      <w:r w:rsidR="001026D7">
        <w:t>)</w:t>
      </w:r>
      <w:r w:rsidR="001026D7">
        <w:rPr>
          <w:rStyle w:val="EndnoteReference"/>
        </w:rPr>
        <w:endnoteReference w:id="28"/>
      </w:r>
      <w:r w:rsidR="001026D7">
        <w:t xml:space="preserve">, </w:t>
      </w:r>
      <w:r w:rsidR="006F5329" w:rsidRPr="00C87678">
        <w:t xml:space="preserve"> the procession passed along the Corso in Rome</w:t>
      </w:r>
      <w:r w:rsidR="00A73168" w:rsidRPr="00C87678">
        <w:t xml:space="preserve"> and</w:t>
      </w:r>
      <w:r w:rsidR="006F5329" w:rsidRPr="00C87678">
        <w:t xml:space="preserve"> celebrated the four continents of the world </w:t>
      </w:r>
      <w:r w:rsidR="00A73168" w:rsidRPr="00C87678">
        <w:t>through a series of</w:t>
      </w:r>
      <w:r w:rsidR="006F5329" w:rsidRPr="00C87678">
        <w:t xml:space="preserve"> elaborately festooned </w:t>
      </w:r>
      <w:r w:rsidR="006F5329" w:rsidRPr="00C87678">
        <w:rPr>
          <w:i/>
        </w:rPr>
        <w:t>carri</w:t>
      </w:r>
      <w:r w:rsidR="001F5596" w:rsidRPr="00C87678">
        <w:rPr>
          <w:i/>
        </w:rPr>
        <w:t xml:space="preserve">. </w:t>
      </w:r>
      <w:r w:rsidR="001F5596" w:rsidRPr="00C87678">
        <w:t xml:space="preserve">Each float </w:t>
      </w:r>
      <w:r w:rsidR="006F5329" w:rsidRPr="00C87678">
        <w:t xml:space="preserve">carried </w:t>
      </w:r>
      <w:r w:rsidR="001F5596" w:rsidRPr="00C87678">
        <w:t xml:space="preserve">costumed figures </w:t>
      </w:r>
      <w:r w:rsidR="00A918AD">
        <w:t xml:space="preserve">which were </w:t>
      </w:r>
      <w:r w:rsidR="001F5596" w:rsidRPr="00C87678">
        <w:t xml:space="preserve">designed to convey the distinctive </w:t>
      </w:r>
      <w:r w:rsidR="00C17325">
        <w:t xml:space="preserve">aesthetic and ethnographic </w:t>
      </w:r>
      <w:r w:rsidR="001F5596" w:rsidRPr="00C87678">
        <w:t xml:space="preserve">qualities of the different </w:t>
      </w:r>
      <w:r w:rsidR="00C17325">
        <w:t>regions of the world</w:t>
      </w:r>
      <w:r w:rsidR="001F5596" w:rsidRPr="00C87678">
        <w:t xml:space="preserve">, redolent of the allegorical figures portrayed in the contemporaneously executed ceiling fresco of the four continents by </w:t>
      </w:r>
      <w:r w:rsidR="00C17325" w:rsidRPr="00C17325">
        <w:t xml:space="preserve">Giovanni Battista </w:t>
      </w:r>
      <w:r w:rsidR="001F5596" w:rsidRPr="00C87678">
        <w:t xml:space="preserve">Tiepolo in the </w:t>
      </w:r>
      <w:r w:rsidR="00C87678">
        <w:t xml:space="preserve">Residenz of the </w:t>
      </w:r>
      <w:r w:rsidR="00C87678" w:rsidRPr="00C87678">
        <w:t>prince-bisho</w:t>
      </w:r>
      <w:r w:rsidR="00C87678">
        <w:t>p in</w:t>
      </w:r>
      <w:r w:rsidR="00C87678" w:rsidRPr="00C87678">
        <w:t xml:space="preserve"> </w:t>
      </w:r>
      <w:r w:rsidR="007B7452" w:rsidRPr="007B7452">
        <w:t>Würzburg</w:t>
      </w:r>
      <w:r w:rsidR="001F5596" w:rsidRPr="00C87678">
        <w:t>.</w:t>
      </w:r>
      <w:r w:rsidR="001026D7">
        <w:rPr>
          <w:rStyle w:val="EndnoteReference"/>
        </w:rPr>
        <w:endnoteReference w:id="29"/>
      </w:r>
      <w:r w:rsidR="001F5596" w:rsidRPr="00C87678">
        <w:t xml:space="preserve"> Like the </w:t>
      </w:r>
      <w:r w:rsidR="00060BBD">
        <w:t>rather ‘</w:t>
      </w:r>
      <w:r w:rsidR="001F5596" w:rsidRPr="00C87678">
        <w:t>eclectic</w:t>
      </w:r>
      <w:r w:rsidR="00060BBD">
        <w:t>’</w:t>
      </w:r>
      <w:r w:rsidR="001F5596" w:rsidRPr="00C87678">
        <w:t xml:space="preserve"> representations </w:t>
      </w:r>
      <w:r w:rsidR="00C87678">
        <w:t xml:space="preserve">highlighted </w:t>
      </w:r>
      <w:r w:rsidR="001F5596" w:rsidRPr="00C87678">
        <w:t xml:space="preserve">in the </w:t>
      </w:r>
      <w:r w:rsidR="001F5596" w:rsidRPr="007B7452">
        <w:rPr>
          <w:i/>
        </w:rPr>
        <w:t>ma</w:t>
      </w:r>
      <w:r w:rsidR="007B7452" w:rsidRPr="007B7452">
        <w:rPr>
          <w:i/>
        </w:rPr>
        <w:t>c</w:t>
      </w:r>
      <w:r w:rsidR="001F5596" w:rsidRPr="007B7452">
        <w:rPr>
          <w:i/>
        </w:rPr>
        <w:t>chine</w:t>
      </w:r>
      <w:r w:rsidR="001F5596" w:rsidRPr="00C87678">
        <w:t xml:space="preserve"> of</w:t>
      </w:r>
      <w:r w:rsidR="00C17325">
        <w:t xml:space="preserve"> the</w:t>
      </w:r>
      <w:r w:rsidR="00060BBD">
        <w:t xml:space="preserve"> </w:t>
      </w:r>
      <w:r w:rsidR="001F5596" w:rsidRPr="00C87678">
        <w:t>Fest</w:t>
      </w:r>
      <w:r w:rsidR="00C17325">
        <w:t>a</w:t>
      </w:r>
      <w:r w:rsidR="001F5596" w:rsidRPr="00C87678">
        <w:t xml:space="preserve"> della Chinea</w:t>
      </w:r>
      <w:r w:rsidR="00A918AD">
        <w:t xml:space="preserve"> during the 18</w:t>
      </w:r>
      <w:r w:rsidR="00A918AD" w:rsidRPr="00A918AD">
        <w:rPr>
          <w:vertAlign w:val="superscript"/>
        </w:rPr>
        <w:t>th</w:t>
      </w:r>
      <w:r w:rsidR="00A918AD">
        <w:t xml:space="preserve"> century</w:t>
      </w:r>
      <w:r w:rsidR="001F5596" w:rsidRPr="00C87678">
        <w:t xml:space="preserve">, these processions underline the perception of the </w:t>
      </w:r>
      <w:r w:rsidR="006F5329" w:rsidRPr="00C87678">
        <w:t>world as essentially a scenography of exotic references</w:t>
      </w:r>
      <w:r w:rsidR="001F5596" w:rsidRPr="00C87678">
        <w:t xml:space="preserve">, </w:t>
      </w:r>
      <w:r w:rsidR="00C17325">
        <w:t xml:space="preserve">reflecting in part </w:t>
      </w:r>
      <w:r w:rsidR="00060BBD">
        <w:t xml:space="preserve">the impact of the activities of traders and missionaries in Asia on the </w:t>
      </w:r>
      <w:r w:rsidR="00C87678">
        <w:t>Papal City</w:t>
      </w:r>
      <w:r w:rsidR="00C87678" w:rsidRPr="00C87678">
        <w:t xml:space="preserve"> </w:t>
      </w:r>
      <w:r w:rsidR="0034345B">
        <w:t>(</w:t>
      </w:r>
      <w:r w:rsidR="00C87678">
        <w:t>and other cities in Euro</w:t>
      </w:r>
      <w:r w:rsidR="00060BBD">
        <w:t>pe</w:t>
      </w:r>
      <w:r w:rsidR="0034345B">
        <w:t>)</w:t>
      </w:r>
      <w:r w:rsidR="00060BBD">
        <w:t xml:space="preserve"> </w:t>
      </w:r>
      <w:r w:rsidR="0034345B">
        <w:t>during</w:t>
      </w:r>
      <w:r w:rsidR="00060BBD">
        <w:t xml:space="preserve"> the Age of Discovery</w:t>
      </w:r>
      <w:r w:rsidR="0034345B">
        <w:t>.</w:t>
      </w:r>
    </w:p>
    <w:p w14:paraId="14C348D9" w14:textId="77777777" w:rsidR="00A84F10" w:rsidRDefault="009A746E" w:rsidP="006F5329">
      <w:pPr>
        <w:pStyle w:val="Newparagraph"/>
        <w:spacing w:line="360" w:lineRule="auto"/>
        <w:jc w:val="both"/>
      </w:pPr>
      <w:r>
        <w:t>In conclusio</w:t>
      </w:r>
      <w:r w:rsidR="00B613FE">
        <w:t xml:space="preserve">n, the </w:t>
      </w:r>
      <w:r w:rsidR="0034345B">
        <w:t xml:space="preserve">history and symbolism of the </w:t>
      </w:r>
      <w:r w:rsidR="00B613FE">
        <w:t>Festa della Chinea provide</w:t>
      </w:r>
      <w:r w:rsidR="0034345B">
        <w:t>s</w:t>
      </w:r>
      <w:r w:rsidR="00634BE0">
        <w:t xml:space="preserve"> </w:t>
      </w:r>
      <w:r w:rsidR="00B613FE">
        <w:t>a remarkable</w:t>
      </w:r>
      <w:r w:rsidR="0034345B">
        <w:t xml:space="preserve"> testimony to the changing </w:t>
      </w:r>
      <w:r w:rsidR="00634BE0">
        <w:t>face</w:t>
      </w:r>
      <w:r w:rsidR="0034345B">
        <w:t xml:space="preserve"> of Rome itself</w:t>
      </w:r>
      <w:r w:rsidR="00A75412">
        <w:t>,</w:t>
      </w:r>
      <w:r w:rsidR="0034345B">
        <w:t xml:space="preserve"> as a </w:t>
      </w:r>
      <w:r w:rsidR="00A75412">
        <w:t xml:space="preserve">venerated </w:t>
      </w:r>
      <w:r w:rsidR="0034345B">
        <w:t>religious c</w:t>
      </w:r>
      <w:r w:rsidR="00FC14E2">
        <w:t>entre</w:t>
      </w:r>
      <w:r w:rsidR="0034345B">
        <w:t xml:space="preserve">, deeply rooted in </w:t>
      </w:r>
      <w:r w:rsidR="00133B9D">
        <w:t>the</w:t>
      </w:r>
      <w:r w:rsidR="0034345B">
        <w:t xml:space="preserve"> traditions</w:t>
      </w:r>
      <w:r w:rsidR="00A75412">
        <w:t xml:space="preserve"> of</w:t>
      </w:r>
      <w:r w:rsidR="00A918AD">
        <w:t xml:space="preserve"> antiquity and early Christian</w:t>
      </w:r>
      <w:r w:rsidR="00634BE0">
        <w:t>i</w:t>
      </w:r>
      <w:r w:rsidR="00A918AD">
        <w:t>ty</w:t>
      </w:r>
      <w:r w:rsidR="00C41151">
        <w:t xml:space="preserve"> (exemplified in the</w:t>
      </w:r>
      <w:r w:rsidR="006E006F">
        <w:t xml:space="preserve"> underlying</w:t>
      </w:r>
      <w:r w:rsidR="00C41151">
        <w:t xml:space="preserve"> symbolic associations of the Chinea)</w:t>
      </w:r>
      <w:r w:rsidR="0034345B">
        <w:t xml:space="preserve">, and </w:t>
      </w:r>
      <w:r w:rsidR="006E006F">
        <w:t xml:space="preserve">as </w:t>
      </w:r>
      <w:r w:rsidR="0034345B">
        <w:t>a cultural capital</w:t>
      </w:r>
      <w:r w:rsidR="00634BE0">
        <w:t xml:space="preserve"> </w:t>
      </w:r>
      <w:r w:rsidR="00A75412">
        <w:t xml:space="preserve">that appealed to an ever-expanding audience of foreign </w:t>
      </w:r>
      <w:r w:rsidR="00634BE0">
        <w:t>tourists and artists. It was during th</w:t>
      </w:r>
      <w:r w:rsidR="00FC14E2">
        <w:t>is</w:t>
      </w:r>
      <w:r w:rsidR="00A84F10">
        <w:t xml:space="preserve"> lat</w:t>
      </w:r>
      <w:r w:rsidR="00634BE0">
        <w:t xml:space="preserve">er period </w:t>
      </w:r>
      <w:r w:rsidR="00FC14E2">
        <w:t>that</w:t>
      </w:r>
      <w:r w:rsidR="00634BE0">
        <w:t xml:space="preserve"> the papa</w:t>
      </w:r>
      <w:r w:rsidR="00FC14E2">
        <w:t>cy</w:t>
      </w:r>
      <w:r w:rsidR="00A75412">
        <w:t xml:space="preserve"> became</w:t>
      </w:r>
      <w:r w:rsidR="00634BE0">
        <w:t xml:space="preserve"> virtually bankrupt</w:t>
      </w:r>
      <w:r w:rsidR="00FC14E2">
        <w:t>,</w:t>
      </w:r>
      <w:r w:rsidR="00634BE0">
        <w:t xml:space="preserve"> and therefore unable (and perhaps unwilling) to commission major </w:t>
      </w:r>
      <w:r w:rsidR="006E006F">
        <w:t xml:space="preserve">religious and civic </w:t>
      </w:r>
      <w:r w:rsidR="00634BE0">
        <w:t>building</w:t>
      </w:r>
      <w:r w:rsidR="00B37B2C">
        <w:t>s</w:t>
      </w:r>
      <w:r w:rsidR="00634BE0">
        <w:t xml:space="preserve"> </w:t>
      </w:r>
      <w:r w:rsidR="00314D5F">
        <w:t xml:space="preserve">and urban </w:t>
      </w:r>
      <w:r w:rsidR="00634BE0">
        <w:t>projects</w:t>
      </w:r>
      <w:r w:rsidR="00FC14E2">
        <w:t>,</w:t>
      </w:r>
      <w:r w:rsidR="00634BE0">
        <w:t xml:space="preserve"> in the way </w:t>
      </w:r>
      <w:r w:rsidR="00FC14E2">
        <w:t>it did</w:t>
      </w:r>
      <w:r w:rsidR="00634BE0">
        <w:t xml:space="preserve"> in the </w:t>
      </w:r>
      <w:r w:rsidR="00FC14E2">
        <w:t>16</w:t>
      </w:r>
      <w:r w:rsidR="00FC14E2" w:rsidRPr="00FC14E2">
        <w:rPr>
          <w:vertAlign w:val="superscript"/>
        </w:rPr>
        <w:t>th</w:t>
      </w:r>
      <w:r w:rsidR="00FC14E2">
        <w:t xml:space="preserve"> and </w:t>
      </w:r>
      <w:r w:rsidR="00634BE0">
        <w:t>17</w:t>
      </w:r>
      <w:r w:rsidR="00634BE0" w:rsidRPr="00634BE0">
        <w:rPr>
          <w:vertAlign w:val="superscript"/>
        </w:rPr>
        <w:t>th</w:t>
      </w:r>
      <w:r w:rsidR="00634BE0">
        <w:t xml:space="preserve"> centur</w:t>
      </w:r>
      <w:r w:rsidR="00FC14E2">
        <w:t>ies</w:t>
      </w:r>
      <w:r w:rsidR="00634BE0">
        <w:t>.</w:t>
      </w:r>
      <w:r w:rsidR="005A09E7">
        <w:rPr>
          <w:rStyle w:val="EndnoteReference"/>
        </w:rPr>
        <w:endnoteReference w:id="30"/>
      </w:r>
      <w:r w:rsidR="00634BE0">
        <w:t xml:space="preserve"> In many ways, </w:t>
      </w:r>
      <w:r w:rsidR="00FC14E2">
        <w:t>the 18</w:t>
      </w:r>
      <w:r w:rsidR="00FC14E2" w:rsidRPr="00FC14E2">
        <w:rPr>
          <w:vertAlign w:val="superscript"/>
        </w:rPr>
        <w:t>th</w:t>
      </w:r>
      <w:r w:rsidR="00FC14E2">
        <w:t xml:space="preserve"> century Festa della Chinea provided opportunities for architects and artists</w:t>
      </w:r>
      <w:r w:rsidR="00314D5F">
        <w:t>, in this environment of declining patronage,</w:t>
      </w:r>
      <w:r w:rsidR="00FC14E2">
        <w:t xml:space="preserve"> to experiment </w:t>
      </w:r>
      <w:r w:rsidR="00A75412">
        <w:t>using</w:t>
      </w:r>
      <w:r w:rsidR="00314D5F">
        <w:t xml:space="preserve"> the ingenuities </w:t>
      </w:r>
      <w:r w:rsidR="00C41151">
        <w:t>offered by</w:t>
      </w:r>
      <w:r w:rsidR="00A75412">
        <w:t xml:space="preserve"> </w:t>
      </w:r>
      <w:r w:rsidR="00A75412" w:rsidRPr="00C41151">
        <w:rPr>
          <w:i/>
        </w:rPr>
        <w:t>capriccio</w:t>
      </w:r>
      <w:r w:rsidR="00FC14E2">
        <w:t xml:space="preserve">, </w:t>
      </w:r>
      <w:r w:rsidR="00314D5F">
        <w:t>which</w:t>
      </w:r>
      <w:r w:rsidR="00FC14E2">
        <w:t xml:space="preserve"> resulted in extravagant and novel </w:t>
      </w:r>
      <w:r w:rsidR="00314D5F">
        <w:t xml:space="preserve">ephemeral </w:t>
      </w:r>
      <w:r w:rsidR="00FC14E2">
        <w:t xml:space="preserve">interventions. </w:t>
      </w:r>
      <w:r w:rsidR="00C05006">
        <w:t>T</w:t>
      </w:r>
      <w:r w:rsidR="00C41151">
        <w:t>h</w:t>
      </w:r>
      <w:r w:rsidR="009D679E">
        <w:t>is</w:t>
      </w:r>
      <w:r w:rsidR="00C41151">
        <w:t xml:space="preserve"> drive for </w:t>
      </w:r>
      <w:r w:rsidR="00C41151" w:rsidRPr="00C41151">
        <w:rPr>
          <w:i/>
        </w:rPr>
        <w:t>invenzione</w:t>
      </w:r>
      <w:r w:rsidR="00C41151">
        <w:t xml:space="preserve"> in the Festa</w:t>
      </w:r>
      <w:r w:rsidR="00133B9D">
        <w:t>, as I have sought to demonstrate,</w:t>
      </w:r>
      <w:r w:rsidR="00CA6F0A">
        <w:t xml:space="preserve"> </w:t>
      </w:r>
      <w:r w:rsidR="001E1543">
        <w:t>diverted attention</w:t>
      </w:r>
      <w:r w:rsidR="00C41151">
        <w:t xml:space="preserve"> away from the central purpose of the </w:t>
      </w:r>
      <w:r w:rsidR="00AC7451">
        <w:t>event itself; embodied in the wa</w:t>
      </w:r>
      <w:r w:rsidR="00C41151">
        <w:t>ndering ‘nag’</w:t>
      </w:r>
      <w:r w:rsidR="00CA6F0A">
        <w:t xml:space="preserve"> and its blessing by the Pope in St Peter’s Basilica</w:t>
      </w:r>
      <w:r w:rsidR="00C41151">
        <w:t xml:space="preserve">. </w:t>
      </w:r>
    </w:p>
    <w:p w14:paraId="22CE69D3" w14:textId="77777777" w:rsidR="009A746E" w:rsidRPr="00C87678" w:rsidRDefault="000412C0" w:rsidP="006F5329">
      <w:pPr>
        <w:pStyle w:val="Newparagraph"/>
        <w:spacing w:line="360" w:lineRule="auto"/>
        <w:jc w:val="both"/>
      </w:pPr>
      <w:r>
        <w:t>I</w:t>
      </w:r>
      <w:r w:rsidR="00FC14E2">
        <w:t>n the end</w:t>
      </w:r>
      <w:r>
        <w:t>, however, all th</w:t>
      </w:r>
      <w:r w:rsidR="006E006F">
        <w:t>e</w:t>
      </w:r>
      <w:r>
        <w:t xml:space="preserve"> effort </w:t>
      </w:r>
      <w:r w:rsidR="006E006F">
        <w:t xml:space="preserve">invested in this long-standing bi-annual festival </w:t>
      </w:r>
      <w:r w:rsidR="00FC14E2">
        <w:t>would</w:t>
      </w:r>
      <w:r w:rsidR="00A84F10">
        <w:t xml:space="preserve"> simply</w:t>
      </w:r>
      <w:r w:rsidR="00FC14E2">
        <w:t xml:space="preserve"> go up in smoke</w:t>
      </w:r>
      <w:r w:rsidR="00A75412">
        <w:t>,</w:t>
      </w:r>
      <w:r w:rsidR="00FC14E2">
        <w:t xml:space="preserve"> through the spectacular pyrotechnic displays that signalled the </w:t>
      </w:r>
      <w:r w:rsidR="006E006F">
        <w:t>culmination</w:t>
      </w:r>
      <w:r w:rsidR="00FC14E2">
        <w:t xml:space="preserve"> (and conclusion) of each event. </w:t>
      </w:r>
      <w:r w:rsidR="00634BE0">
        <w:t xml:space="preserve"> </w:t>
      </w:r>
      <w:r w:rsidR="0034345B">
        <w:t xml:space="preserve">    </w:t>
      </w:r>
      <w:r w:rsidR="00B613FE">
        <w:t xml:space="preserve"> </w:t>
      </w:r>
    </w:p>
    <w:p w14:paraId="63BE97F2" w14:textId="77777777" w:rsidR="006F5329" w:rsidRDefault="006F5329" w:rsidP="006F5329">
      <w:pPr>
        <w:pStyle w:val="Newparagraph"/>
      </w:pPr>
    </w:p>
    <w:p w14:paraId="21D80604" w14:textId="77777777" w:rsidR="00CA6C59" w:rsidRDefault="00CA6C59" w:rsidP="00CE3167">
      <w:pPr>
        <w:pStyle w:val="Newparagraph"/>
        <w:spacing w:line="360" w:lineRule="auto"/>
        <w:ind w:firstLine="0"/>
        <w:rPr>
          <w:b/>
        </w:rPr>
      </w:pPr>
    </w:p>
    <w:p w14:paraId="776B9EE4" w14:textId="77777777" w:rsidR="00B17B24" w:rsidRPr="00133B76" w:rsidRDefault="00CE3167" w:rsidP="00CE3167">
      <w:pPr>
        <w:pStyle w:val="Newparagraph"/>
        <w:spacing w:line="360" w:lineRule="auto"/>
        <w:ind w:firstLine="0"/>
      </w:pPr>
      <w:r w:rsidRPr="00133B76">
        <w:rPr>
          <w:b/>
        </w:rPr>
        <w:t>Notes</w:t>
      </w:r>
    </w:p>
    <w:sectPr w:rsidR="00B17B24" w:rsidRPr="00133B76">
      <w:footerReference w:type="default" r:id="rId1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A7BA1" w14:textId="77777777" w:rsidR="00AE6927" w:rsidRDefault="00AE6927" w:rsidP="00102ED1">
      <w:pPr>
        <w:spacing w:after="0" w:line="240" w:lineRule="auto"/>
      </w:pPr>
      <w:r>
        <w:separator/>
      </w:r>
    </w:p>
  </w:endnote>
  <w:endnote w:type="continuationSeparator" w:id="0">
    <w:p w14:paraId="1DB54448" w14:textId="77777777" w:rsidR="00AE6927" w:rsidRDefault="00AE6927" w:rsidP="00102ED1">
      <w:pPr>
        <w:spacing w:after="0" w:line="240" w:lineRule="auto"/>
      </w:pPr>
      <w:r>
        <w:continuationSeparator/>
      </w:r>
    </w:p>
  </w:endnote>
  <w:endnote w:id="1">
    <w:p w14:paraId="1DE70CC1" w14:textId="77777777" w:rsidR="001D72CE" w:rsidRDefault="001D72CE">
      <w:pPr>
        <w:pStyle w:val="EndnoteText"/>
      </w:pPr>
      <w:r>
        <w:rPr>
          <w:rStyle w:val="EndnoteReference"/>
        </w:rPr>
        <w:endnoteRef/>
      </w:r>
      <w:r>
        <w:t xml:space="preserve"> Alessandro Falassi, ‘Festival: Definition and Morphology’, in </w:t>
      </w:r>
      <w:bookmarkStart w:id="0" w:name="_Hlk505068165"/>
      <w:r w:rsidRPr="00474054">
        <w:rPr>
          <w:i/>
        </w:rPr>
        <w:t>Time Out of Time: Essays on the Festival</w:t>
      </w:r>
      <w:r>
        <w:t xml:space="preserve">, edited by Alessandro Falassi (Albuquerque, NM: University of New Mexico Press, 1987), </w:t>
      </w:r>
      <w:bookmarkEnd w:id="0"/>
      <w:r>
        <w:t xml:space="preserve">pp.1-10, pp.1-2. </w:t>
      </w:r>
    </w:p>
  </w:endnote>
  <w:endnote w:id="2">
    <w:p w14:paraId="43E114D7" w14:textId="77777777" w:rsidR="001D72CE" w:rsidRDefault="001D72CE" w:rsidP="0035569E">
      <w:pPr>
        <w:pStyle w:val="EndnoteText"/>
      </w:pPr>
      <w:r>
        <w:rPr>
          <w:rStyle w:val="EndnoteReference"/>
        </w:rPr>
        <w:endnoteRef/>
      </w:r>
      <w:r>
        <w:t xml:space="preserve"> This dual characterisation of the festival could</w:t>
      </w:r>
      <w:r w:rsidR="0035569E">
        <w:t xml:space="preserve"> also</w:t>
      </w:r>
      <w:r>
        <w:t xml:space="preserve"> be </w:t>
      </w:r>
      <w:r w:rsidR="0035569E">
        <w:t>framed</w:t>
      </w:r>
      <w:r>
        <w:t xml:space="preserve"> in ‘Apollonian’ and ‘Dionysian’ terms, which constitutes key impulses </w:t>
      </w:r>
      <w:r w:rsidR="00AB60D8">
        <w:t>in</w:t>
      </w:r>
      <w:r>
        <w:t xml:space="preserve"> ancient religious and </w:t>
      </w:r>
      <w:r w:rsidR="00AB60D8">
        <w:t>public</w:t>
      </w:r>
      <w:r>
        <w:t xml:space="preserve"> life. </w:t>
      </w:r>
      <w:r w:rsidR="0035569E">
        <w:t xml:space="preserve">See in particular, Friedrich Wilhelm Nietzsche, </w:t>
      </w:r>
      <w:r w:rsidR="0035569E" w:rsidRPr="0035569E">
        <w:rPr>
          <w:i/>
        </w:rPr>
        <w:t>The Birth of Tragedy</w:t>
      </w:r>
      <w:r w:rsidR="00FF2D58">
        <w:t xml:space="preserve">, </w:t>
      </w:r>
      <w:r w:rsidR="001D7A37">
        <w:t>translated by Douglas Smith (</w:t>
      </w:r>
      <w:r w:rsidR="00FF2D58" w:rsidRPr="00FF2D58">
        <w:t>Oxford</w:t>
      </w:r>
      <w:r w:rsidR="001D7A37">
        <w:t xml:space="preserve">: Oxford University Press, </w:t>
      </w:r>
      <w:r w:rsidR="00FF2D58" w:rsidRPr="00FF2D58">
        <w:t>2008)</w:t>
      </w:r>
      <w:r w:rsidR="001D7A37">
        <w:t>.</w:t>
      </w:r>
    </w:p>
  </w:endnote>
  <w:endnote w:id="3">
    <w:p w14:paraId="2CE955F2" w14:textId="77777777" w:rsidR="001D72CE" w:rsidRPr="00C53693" w:rsidRDefault="001D72CE">
      <w:pPr>
        <w:pStyle w:val="EndnoteText"/>
        <w:rPr>
          <w:rFonts w:ascii="Times New Roman" w:hAnsi="Times New Roman" w:cs="Times New Roman"/>
        </w:rPr>
      </w:pPr>
      <w:r>
        <w:rPr>
          <w:rStyle w:val="EndnoteReference"/>
        </w:rPr>
        <w:endnoteRef/>
      </w:r>
      <w:r>
        <w:t xml:space="preserve"> </w:t>
      </w:r>
      <w:r w:rsidRPr="00C53693">
        <w:rPr>
          <w:rFonts w:ascii="Times New Roman" w:hAnsi="Times New Roman" w:cs="Times New Roman"/>
        </w:rPr>
        <w:t xml:space="preserve">Beryl Rawson, ‘Celebrating the Saturnalia: Religious Ritual and Roman Domestic Life’ in </w:t>
      </w:r>
      <w:r w:rsidRPr="00C53693">
        <w:rPr>
          <w:rFonts w:ascii="Times New Roman" w:hAnsi="Times New Roman" w:cs="Times New Roman"/>
          <w:i/>
        </w:rPr>
        <w:t>A Companion to Families in the Greek and Roman Worlds</w:t>
      </w:r>
      <w:r w:rsidRPr="00C53693">
        <w:rPr>
          <w:rFonts w:ascii="Times New Roman" w:hAnsi="Times New Roman" w:cs="Times New Roman"/>
        </w:rPr>
        <w:t xml:space="preserve">, edited by Fanny Dolansky (Oxford: Blackwell Publishing, 2011), Chapter 29. The broader issue however of the influence of ancient festival practices on the modern carnival is more contested. See Max Harris, ‘Claiming Pagan Origins for Carnival: Bacchanalia, Saturnalia, and Kalends’, </w:t>
      </w:r>
      <w:r w:rsidRPr="00C53693">
        <w:rPr>
          <w:rFonts w:ascii="Times New Roman" w:hAnsi="Times New Roman" w:cs="Times New Roman"/>
          <w:i/>
        </w:rPr>
        <w:t>European Medieval Drama</w:t>
      </w:r>
      <w:r w:rsidRPr="00C53693">
        <w:rPr>
          <w:rFonts w:ascii="Times New Roman" w:hAnsi="Times New Roman" w:cs="Times New Roman"/>
        </w:rPr>
        <w:t xml:space="preserve">, Volume 10, (2006), pp. 57-107.   </w:t>
      </w:r>
    </w:p>
  </w:endnote>
  <w:endnote w:id="4">
    <w:p w14:paraId="0E92F697"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“On the feast of the Saturnalia, Horace's slave Davus takes the customary license to tell him some home truths, proving that his adulteries, his gluttony, and social climbing make him the real slave…” (Horace, </w:t>
      </w:r>
      <w:r w:rsidRPr="00C53693">
        <w:rPr>
          <w:rFonts w:ascii="Times New Roman" w:hAnsi="Times New Roman" w:cs="Times New Roman"/>
          <w:i/>
        </w:rPr>
        <w:t>Satires</w:t>
      </w:r>
      <w:r w:rsidRPr="00C53693">
        <w:rPr>
          <w:rFonts w:ascii="Times New Roman" w:hAnsi="Times New Roman" w:cs="Times New Roman"/>
        </w:rPr>
        <w:t xml:space="preserve">, II, vii). Anthony Close, ‘A Poet's Vanity: Thoughts on the Friendly Ethos of Cervantine Satire’, </w:t>
      </w:r>
      <w:r w:rsidRPr="00C53693">
        <w:rPr>
          <w:rFonts w:ascii="Times New Roman" w:hAnsi="Times New Roman" w:cs="Times New Roman"/>
          <w:i/>
        </w:rPr>
        <w:t>Cervantes: Bulletin of the Cervantes Society of America</w:t>
      </w:r>
      <w:r w:rsidRPr="00C53693">
        <w:rPr>
          <w:rFonts w:ascii="Times New Roman" w:hAnsi="Times New Roman" w:cs="Times New Roman"/>
        </w:rPr>
        <w:t>, 13.1 (1993): 31-63, p33.</w:t>
      </w:r>
    </w:p>
  </w:endnote>
  <w:endnote w:id="5">
    <w:p w14:paraId="370AB1E2" w14:textId="77777777" w:rsidR="001D72CE" w:rsidRPr="00C53693" w:rsidRDefault="001D72CE" w:rsidP="00D178DC">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2" w:name="_Hlk505068220"/>
      <w:r w:rsidRPr="00C53693">
        <w:rPr>
          <w:rFonts w:ascii="Times New Roman" w:hAnsi="Times New Roman" w:cs="Times New Roman"/>
        </w:rPr>
        <w:t xml:space="preserve">H.S. Versnel, ‘Saturnus and the Saturnalia’, in H.S.Versnel, </w:t>
      </w:r>
      <w:r w:rsidRPr="00C53693">
        <w:rPr>
          <w:rFonts w:ascii="Times New Roman" w:hAnsi="Times New Roman" w:cs="Times New Roman"/>
          <w:i/>
        </w:rPr>
        <w:t xml:space="preserve">Inconsistencies in Greek and Roman Religion, </w:t>
      </w:r>
      <w:bookmarkStart w:id="3" w:name="_Hlk505068629"/>
      <w:r w:rsidRPr="00C53693">
        <w:rPr>
          <w:rFonts w:ascii="Times New Roman" w:hAnsi="Times New Roman" w:cs="Times New Roman"/>
          <w:i/>
        </w:rPr>
        <w:t>Volume 2: Transition and Reversal in Myth and Ritual</w:t>
      </w:r>
      <w:r w:rsidRPr="00C53693">
        <w:rPr>
          <w:rFonts w:ascii="Times New Roman" w:hAnsi="Times New Roman" w:cs="Times New Roman"/>
        </w:rPr>
        <w:t xml:space="preserve"> (Leiden: Brill, 1992), pp 136-227.</w:t>
      </w:r>
    </w:p>
    <w:bookmarkEnd w:id="2"/>
    <w:bookmarkEnd w:id="3"/>
  </w:endnote>
  <w:endnote w:id="6">
    <w:p w14:paraId="3056F954"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4" w:name="_Hlk505068737"/>
      <w:r w:rsidRPr="00C53693">
        <w:rPr>
          <w:rFonts w:ascii="Times New Roman" w:hAnsi="Times New Roman" w:cs="Times New Roman"/>
        </w:rPr>
        <w:t xml:space="preserve">See in particular, H.S. Versnel, </w:t>
      </w:r>
      <w:r w:rsidRPr="00C53693">
        <w:rPr>
          <w:rFonts w:ascii="Times New Roman" w:hAnsi="Times New Roman" w:cs="Times New Roman"/>
          <w:i/>
        </w:rPr>
        <w:t>Triumphus: An Enquiry into the Origin, Development and Meaning of the Roman Triumph</w:t>
      </w:r>
      <w:r w:rsidRPr="00C53693">
        <w:rPr>
          <w:rFonts w:ascii="Times New Roman" w:hAnsi="Times New Roman" w:cs="Times New Roman"/>
        </w:rPr>
        <w:t xml:space="preserve"> (Leiden: E.J. Brill, 1970).  </w:t>
      </w:r>
      <w:bookmarkEnd w:id="4"/>
    </w:p>
  </w:endnote>
  <w:endnote w:id="7">
    <w:p w14:paraId="13A7D745"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5" w:name="_Hlk494743668"/>
      <w:r w:rsidRPr="00C53693">
        <w:rPr>
          <w:rFonts w:ascii="Times New Roman" w:hAnsi="Times New Roman" w:cs="Times New Roman"/>
        </w:rPr>
        <w:t xml:space="preserve">Mary Beard, </w:t>
      </w:r>
      <w:r w:rsidRPr="00C53693">
        <w:rPr>
          <w:rFonts w:ascii="Times New Roman" w:hAnsi="Times New Roman" w:cs="Times New Roman"/>
          <w:i/>
        </w:rPr>
        <w:t>The Roman Triumph</w:t>
      </w:r>
      <w:r w:rsidRPr="00C53693">
        <w:rPr>
          <w:rFonts w:ascii="Times New Roman" w:hAnsi="Times New Roman" w:cs="Times New Roman"/>
        </w:rPr>
        <w:t xml:space="preserve"> (Cambridge, Mass: The Belknap Press of Harvard University Press, 2007</w:t>
      </w:r>
      <w:bookmarkEnd w:id="5"/>
      <w:r w:rsidRPr="00C53693">
        <w:rPr>
          <w:rFonts w:ascii="Times New Roman" w:hAnsi="Times New Roman" w:cs="Times New Roman"/>
        </w:rPr>
        <w:t>), p235.</w:t>
      </w:r>
    </w:p>
  </w:endnote>
  <w:endnote w:id="8">
    <w:p w14:paraId="28FA3E0C"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7" w:name="_Hlk494743555"/>
      <w:r w:rsidRPr="00C53693">
        <w:rPr>
          <w:rFonts w:ascii="Times New Roman" w:hAnsi="Times New Roman" w:cs="Times New Roman"/>
        </w:rPr>
        <w:t xml:space="preserve">Marcello Fagiolo, </w:t>
      </w:r>
      <w:r w:rsidRPr="00C53693">
        <w:rPr>
          <w:rFonts w:ascii="Times New Roman" w:hAnsi="Times New Roman" w:cs="Times New Roman"/>
          <w:i/>
        </w:rPr>
        <w:t>La Festa a Roma: Dal Rinascimento al 1870</w:t>
      </w:r>
      <w:r w:rsidRPr="00C53693">
        <w:rPr>
          <w:rFonts w:ascii="Times New Roman" w:hAnsi="Times New Roman" w:cs="Times New Roman"/>
        </w:rPr>
        <w:t xml:space="preserve"> (Turin: Umberto Allemandi &amp; C, 1997)</w:t>
      </w:r>
      <w:bookmarkEnd w:id="7"/>
      <w:r w:rsidRPr="00C53693">
        <w:rPr>
          <w:rFonts w:ascii="Times New Roman" w:hAnsi="Times New Roman" w:cs="Times New Roman"/>
        </w:rPr>
        <w:t>, pp.34-41.</w:t>
      </w:r>
    </w:p>
  </w:endnote>
  <w:endnote w:id="9">
    <w:p w14:paraId="232B0CE1"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8" w:name="_Hlk505068253"/>
      <w:r w:rsidRPr="00C53693">
        <w:rPr>
          <w:rFonts w:ascii="Times New Roman" w:hAnsi="Times New Roman" w:cs="Times New Roman"/>
        </w:rPr>
        <w:t xml:space="preserve">Ingvild Saelid Gilhus, </w:t>
      </w:r>
      <w:r w:rsidRPr="00C53693">
        <w:rPr>
          <w:rFonts w:ascii="Times New Roman" w:hAnsi="Times New Roman" w:cs="Times New Roman"/>
          <w:i/>
        </w:rPr>
        <w:t>Animals, Gods and Humans: Changing Attitudes to Animals in Greek, Roman and Early Christian Thought</w:t>
      </w:r>
      <w:r w:rsidRPr="00C53693">
        <w:rPr>
          <w:rFonts w:ascii="Times New Roman" w:hAnsi="Times New Roman" w:cs="Times New Roman"/>
        </w:rPr>
        <w:t xml:space="preserve"> (London: Routledge, 2006)</w:t>
      </w:r>
    </w:p>
    <w:bookmarkEnd w:id="8"/>
  </w:endnote>
  <w:endnote w:id="10">
    <w:p w14:paraId="4599E842"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r w:rsidRPr="00314D5F">
        <w:rPr>
          <w:rFonts w:ascii="Times New Roman" w:hAnsi="Times New Roman" w:cs="Times New Roman"/>
          <w:i/>
        </w:rPr>
        <w:t>Ibid</w:t>
      </w:r>
      <w:r w:rsidRPr="00C53693">
        <w:rPr>
          <w:rFonts w:ascii="Times New Roman" w:hAnsi="Times New Roman" w:cs="Times New Roman"/>
        </w:rPr>
        <w:t>., Chapters 6&amp;7.</w:t>
      </w:r>
    </w:p>
  </w:endnote>
  <w:endnote w:id="11">
    <w:p w14:paraId="3C70019F" w14:textId="77777777" w:rsidR="001D72CE" w:rsidRDefault="001D72CE" w:rsidP="002348E6">
      <w:pPr>
        <w:pStyle w:val="EndnoteText"/>
      </w:pPr>
      <w:r>
        <w:rPr>
          <w:rStyle w:val="EndnoteReference"/>
        </w:rPr>
        <w:endnoteRef/>
      </w:r>
      <w:r>
        <w:t xml:space="preserve"> For an examination of the symbolism see J. S. Considine, ‘The Rider on the White Horse: Apocalypse </w:t>
      </w:r>
      <w:bookmarkStart w:id="9" w:name="_Hlk504943926"/>
      <w:r>
        <w:t>6:1-8</w:t>
      </w:r>
      <w:bookmarkEnd w:id="9"/>
      <w:r>
        <w:t xml:space="preserve">’, </w:t>
      </w:r>
      <w:r w:rsidRPr="002348E6">
        <w:rPr>
          <w:i/>
        </w:rPr>
        <w:t>The Catholic Biblical Quarterly</w:t>
      </w:r>
      <w:r>
        <w:t>, Vol. 6, No. 4 (October, 1944), pp. 406-422.</w:t>
      </w:r>
    </w:p>
  </w:endnote>
  <w:endnote w:id="12">
    <w:p w14:paraId="2FFAFBD7"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10" w:name="_Hlk494743334"/>
      <w:r w:rsidRPr="00C53693">
        <w:rPr>
          <w:rFonts w:ascii="Times New Roman" w:hAnsi="Times New Roman" w:cs="Times New Roman"/>
        </w:rPr>
        <w:t xml:space="preserve">John E. Moore, ‘Building Set Pieces in Eighteenth-Century Rome: The Case of the Chinea’, </w:t>
      </w:r>
      <w:r w:rsidRPr="00C53693">
        <w:rPr>
          <w:rFonts w:ascii="Times New Roman" w:hAnsi="Times New Roman" w:cs="Times New Roman"/>
          <w:i/>
        </w:rPr>
        <w:t>Memoirs of the American Academy in Rome</w:t>
      </w:r>
      <w:r w:rsidRPr="00C53693">
        <w:rPr>
          <w:rFonts w:ascii="Times New Roman" w:hAnsi="Times New Roman" w:cs="Times New Roman"/>
        </w:rPr>
        <w:t>, Vol. 43/44 (1998/1999), pp. 183-292</w:t>
      </w:r>
      <w:bookmarkEnd w:id="10"/>
      <w:r w:rsidRPr="00C53693">
        <w:rPr>
          <w:rFonts w:ascii="Times New Roman" w:hAnsi="Times New Roman" w:cs="Times New Roman"/>
        </w:rPr>
        <w:t>, p184.</w:t>
      </w:r>
    </w:p>
  </w:endnote>
  <w:endnote w:id="13">
    <w:p w14:paraId="4A9C4118"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On the different meanings and associations of baptism, see Jean Danielou, S.J., </w:t>
      </w:r>
      <w:r w:rsidRPr="00C53693">
        <w:rPr>
          <w:rFonts w:ascii="Times New Roman" w:hAnsi="Times New Roman" w:cs="Times New Roman"/>
          <w:i/>
        </w:rPr>
        <w:t>The Bible and the Liturgy</w:t>
      </w:r>
      <w:r w:rsidRPr="00C53693">
        <w:rPr>
          <w:rFonts w:ascii="Times New Roman" w:hAnsi="Times New Roman" w:cs="Times New Roman"/>
        </w:rPr>
        <w:t xml:space="preserve"> (Ann Arbor, Michigan: Servant Books, 1956). </w:t>
      </w:r>
    </w:p>
  </w:endnote>
  <w:endnote w:id="14">
    <w:p w14:paraId="677A1553"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12" w:name="_Hlk494743492"/>
      <w:r w:rsidRPr="00C53693">
        <w:rPr>
          <w:rFonts w:ascii="Times New Roman" w:hAnsi="Times New Roman" w:cs="Times New Roman"/>
        </w:rPr>
        <w:t xml:space="preserve">C. Bennett Pascal, ‘October Horse’, </w:t>
      </w:r>
      <w:r w:rsidRPr="00C53693">
        <w:rPr>
          <w:rFonts w:ascii="Times New Roman" w:hAnsi="Times New Roman" w:cs="Times New Roman"/>
          <w:i/>
        </w:rPr>
        <w:t>Harvard Studies in Classical Philology</w:t>
      </w:r>
      <w:r w:rsidRPr="00C53693">
        <w:rPr>
          <w:rFonts w:ascii="Times New Roman" w:hAnsi="Times New Roman" w:cs="Times New Roman"/>
        </w:rPr>
        <w:t>, Vol.85 (1981), pp.261-291.</w:t>
      </w:r>
      <w:bookmarkEnd w:id="12"/>
    </w:p>
  </w:endnote>
  <w:endnote w:id="15">
    <w:p w14:paraId="519108AA"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r w:rsidRPr="00C53693">
        <w:rPr>
          <w:rFonts w:ascii="Times New Roman" w:hAnsi="Times New Roman" w:cs="Times New Roman"/>
          <w:i/>
        </w:rPr>
        <w:t>Ibid</w:t>
      </w:r>
      <w:r w:rsidRPr="00C53693">
        <w:rPr>
          <w:rFonts w:ascii="Times New Roman" w:hAnsi="Times New Roman" w:cs="Times New Roman"/>
        </w:rPr>
        <w:t>., p261. The famous chariot races of the Roman circus “were managed by factions, whose distinguishing colours – white, red, blue and green – were thought by Tertullian (</w:t>
      </w:r>
      <w:r w:rsidRPr="00C53693">
        <w:rPr>
          <w:rFonts w:ascii="Times New Roman" w:hAnsi="Times New Roman" w:cs="Times New Roman"/>
          <w:i/>
        </w:rPr>
        <w:t>De spect</w:t>
      </w:r>
      <w:r w:rsidRPr="00C53693">
        <w:rPr>
          <w:rFonts w:ascii="Times New Roman" w:hAnsi="Times New Roman" w:cs="Times New Roman"/>
        </w:rPr>
        <w:t xml:space="preserve">. 9.5) to represent the seasons.” ‘horse – and chariot-races’, </w:t>
      </w:r>
      <w:r w:rsidRPr="00C53693">
        <w:rPr>
          <w:rFonts w:ascii="Times New Roman" w:hAnsi="Times New Roman" w:cs="Times New Roman"/>
          <w:i/>
        </w:rPr>
        <w:t>The Oxford Classical Dictionary</w:t>
      </w:r>
      <w:r w:rsidRPr="00C53693">
        <w:rPr>
          <w:rFonts w:ascii="Times New Roman" w:hAnsi="Times New Roman" w:cs="Times New Roman"/>
        </w:rPr>
        <w:t>, edited by Simon Hornblower and Antony Spawforth (New York: Oxford University Press, 1996) p727.</w:t>
      </w:r>
    </w:p>
  </w:endnote>
  <w:endnote w:id="16">
    <w:p w14:paraId="440630BB"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This relates specifically to the agricultural symbolism of animals in the ancient world that traditionally formed the basis of most sacrificial rites. Significantly, the horse was usually singled out as the exception to this rule, which was more commonly associated with war and military prowess. Pascal, ‘October Horse’, pp.274-276.</w:t>
      </w:r>
    </w:p>
  </w:endnote>
  <w:endnote w:id="17">
    <w:p w14:paraId="3C886102"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Nicholas Temple, </w:t>
      </w:r>
      <w:bookmarkStart w:id="13" w:name="_Hlk494743195"/>
      <w:r w:rsidRPr="00C53693">
        <w:rPr>
          <w:rFonts w:ascii="Times New Roman" w:hAnsi="Times New Roman" w:cs="Times New Roman"/>
          <w:i/>
        </w:rPr>
        <w:t>renovatio urbis</w:t>
      </w:r>
      <w:bookmarkEnd w:id="13"/>
      <w:r w:rsidRPr="00C53693">
        <w:rPr>
          <w:rFonts w:ascii="Times New Roman" w:hAnsi="Times New Roman" w:cs="Times New Roman"/>
          <w:i/>
        </w:rPr>
        <w:t>: Architecture, Urbanism and Ceremony in the Rome of Julius II</w:t>
      </w:r>
      <w:r w:rsidRPr="00C53693">
        <w:rPr>
          <w:rFonts w:ascii="Times New Roman" w:hAnsi="Times New Roman" w:cs="Times New Roman"/>
        </w:rPr>
        <w:t xml:space="preserve"> (London: Routledge, 2011), pp. 162-167. </w:t>
      </w:r>
    </w:p>
  </w:endnote>
  <w:endnote w:id="18">
    <w:p w14:paraId="56FE52DB"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Moore, ‘Building Set Pieces in Eighteenth-Century Rome’, p183.</w:t>
      </w:r>
    </w:p>
  </w:endnote>
  <w:endnote w:id="19">
    <w:p w14:paraId="75BD802F"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Temple, </w:t>
      </w:r>
      <w:r w:rsidRPr="00C53693">
        <w:rPr>
          <w:rFonts w:ascii="Times New Roman" w:hAnsi="Times New Roman" w:cs="Times New Roman"/>
          <w:i/>
        </w:rPr>
        <w:t>renovatio urbis</w:t>
      </w:r>
      <w:r w:rsidRPr="00C53693">
        <w:rPr>
          <w:rFonts w:ascii="Times New Roman" w:hAnsi="Times New Roman" w:cs="Times New Roman"/>
        </w:rPr>
        <w:t>, pp.7-33.</w:t>
      </w:r>
    </w:p>
  </w:endnote>
  <w:endnote w:id="20">
    <w:p w14:paraId="01EB891C" w14:textId="77777777" w:rsidR="000E4C65" w:rsidRDefault="000E4C65">
      <w:pPr>
        <w:pStyle w:val="EndnoteText"/>
      </w:pPr>
      <w:r>
        <w:rPr>
          <w:rStyle w:val="EndnoteReference"/>
        </w:rPr>
        <w:endnoteRef/>
      </w:r>
      <w:r>
        <w:t xml:space="preserve"> </w:t>
      </w:r>
      <w:r w:rsidRPr="00105379">
        <w:rPr>
          <w:i/>
        </w:rPr>
        <w:t>Prudentius</w:t>
      </w:r>
      <w:r>
        <w:t xml:space="preserve">, </w:t>
      </w:r>
      <w:r w:rsidR="00105379">
        <w:t xml:space="preserve">trans. H.J. Thomson, </w:t>
      </w:r>
      <w:r w:rsidR="00105379" w:rsidRPr="00FD7394">
        <w:rPr>
          <w:i/>
        </w:rPr>
        <w:t>Loeb Classical Library</w:t>
      </w:r>
      <w:r w:rsidR="00FD7394">
        <w:t xml:space="preserve"> (</w:t>
      </w:r>
      <w:r w:rsidR="00105379">
        <w:t>Cambridge, MA: Harvard University Press, 1949)</w:t>
      </w:r>
      <w:r w:rsidR="00FD7394">
        <w:t xml:space="preserve">, </w:t>
      </w:r>
      <w:r>
        <w:t>pp.325-27.</w:t>
      </w:r>
    </w:p>
  </w:endnote>
  <w:endnote w:id="21">
    <w:p w14:paraId="43F7985D"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14" w:name="_Hlk494743373"/>
      <w:r w:rsidRPr="00C53693">
        <w:rPr>
          <w:rFonts w:ascii="Times New Roman" w:hAnsi="Times New Roman" w:cs="Times New Roman"/>
        </w:rPr>
        <w:t xml:space="preserve">John E. Moore, ‘Prints, Salami, and Cheese: Savoring the Roman Festival of the Chinea’, </w:t>
      </w:r>
      <w:r w:rsidRPr="00C53693">
        <w:rPr>
          <w:rFonts w:ascii="Times New Roman" w:hAnsi="Times New Roman" w:cs="Times New Roman"/>
          <w:i/>
        </w:rPr>
        <w:t>The Art Bulletin</w:t>
      </w:r>
      <w:r w:rsidRPr="00C53693">
        <w:rPr>
          <w:rFonts w:ascii="Times New Roman" w:hAnsi="Times New Roman" w:cs="Times New Roman"/>
        </w:rPr>
        <w:t>, Vol.77, Issue 4 (1995), pp.584-608</w:t>
      </w:r>
      <w:bookmarkEnd w:id="14"/>
      <w:r w:rsidRPr="00C53693">
        <w:rPr>
          <w:rFonts w:ascii="Times New Roman" w:hAnsi="Times New Roman" w:cs="Times New Roman"/>
        </w:rPr>
        <w:t>, p584.</w:t>
      </w:r>
    </w:p>
  </w:endnote>
  <w:endnote w:id="22">
    <w:p w14:paraId="0C9D138A"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bookmarkStart w:id="15" w:name="_Hlk494743526"/>
      <w:r w:rsidRPr="00C53693">
        <w:rPr>
          <w:rFonts w:ascii="Times New Roman" w:hAnsi="Times New Roman" w:cs="Times New Roman"/>
        </w:rPr>
        <w:t xml:space="preserve">Joseph Rykwert, </w:t>
      </w:r>
      <w:r w:rsidRPr="00C53693">
        <w:rPr>
          <w:rFonts w:ascii="Times New Roman" w:hAnsi="Times New Roman" w:cs="Times New Roman"/>
          <w:i/>
        </w:rPr>
        <w:t>The Idea of a Town: The Anthropology of Urban Form in Rome, Italy and the Ancient World</w:t>
      </w:r>
      <w:r w:rsidRPr="00C53693">
        <w:rPr>
          <w:rFonts w:ascii="Times New Roman" w:hAnsi="Times New Roman" w:cs="Times New Roman"/>
        </w:rPr>
        <w:t xml:space="preserve"> (London: Faber and Faber, 1976)</w:t>
      </w:r>
      <w:bookmarkEnd w:id="15"/>
      <w:r w:rsidRPr="00C53693">
        <w:rPr>
          <w:rFonts w:ascii="Times New Roman" w:hAnsi="Times New Roman" w:cs="Times New Roman"/>
        </w:rPr>
        <w:t>, p65.</w:t>
      </w:r>
    </w:p>
  </w:endnote>
  <w:endnote w:id="23">
    <w:p w14:paraId="010340E5"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r w:rsidRPr="00C53693">
        <w:rPr>
          <w:rFonts w:ascii="Times New Roman" w:hAnsi="Times New Roman" w:cs="Times New Roman"/>
          <w:i/>
        </w:rPr>
        <w:t>Ibid</w:t>
      </w:r>
      <w:r w:rsidRPr="00C53693">
        <w:rPr>
          <w:rFonts w:ascii="Times New Roman" w:hAnsi="Times New Roman" w:cs="Times New Roman"/>
        </w:rPr>
        <w:t>., p58, note 83.</w:t>
      </w:r>
    </w:p>
  </w:endnote>
  <w:endnote w:id="24">
    <w:p w14:paraId="74DD47A9"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w:t>
      </w:r>
      <w:r w:rsidRPr="00C53693">
        <w:rPr>
          <w:rFonts w:ascii="Times New Roman" w:hAnsi="Times New Roman" w:cs="Times New Roman"/>
          <w:i/>
        </w:rPr>
        <w:t>Ibid</w:t>
      </w:r>
      <w:r w:rsidRPr="00C53693">
        <w:rPr>
          <w:rFonts w:ascii="Times New Roman" w:hAnsi="Times New Roman" w:cs="Times New Roman"/>
        </w:rPr>
        <w:t xml:space="preserve">. The rituals surrounding the </w:t>
      </w:r>
      <w:r w:rsidRPr="00C53693">
        <w:rPr>
          <w:rFonts w:ascii="Times New Roman" w:hAnsi="Times New Roman" w:cs="Times New Roman"/>
          <w:i/>
        </w:rPr>
        <w:t>Consecratio</w:t>
      </w:r>
      <w:r w:rsidRPr="00C53693">
        <w:rPr>
          <w:rFonts w:ascii="Times New Roman" w:hAnsi="Times New Roman" w:cs="Times New Roman"/>
        </w:rPr>
        <w:t xml:space="preserve"> in antiquity, that differentiated in Roman law between human and divine things, was also applied to the act of tracing the city walls with the yoked ox and cow. </w:t>
      </w:r>
      <w:r w:rsidRPr="00C53693">
        <w:rPr>
          <w:rFonts w:ascii="Times New Roman" w:hAnsi="Times New Roman" w:cs="Times New Roman"/>
          <w:i/>
        </w:rPr>
        <w:t>The Oxford Classical Dictionary</w:t>
      </w:r>
      <w:r w:rsidRPr="00C53693">
        <w:rPr>
          <w:rFonts w:ascii="Times New Roman" w:hAnsi="Times New Roman" w:cs="Times New Roman"/>
        </w:rPr>
        <w:t xml:space="preserve">, pp.376-377; Richard Krautheimer, </w:t>
      </w:r>
      <w:r w:rsidRPr="00C53693">
        <w:rPr>
          <w:rFonts w:ascii="Times New Roman" w:hAnsi="Times New Roman" w:cs="Times New Roman"/>
          <w:i/>
        </w:rPr>
        <w:t>Three Christian Capitals: Topography &amp; Politics: Rome, Constantinople, Milan</w:t>
      </w:r>
      <w:r w:rsidRPr="00C53693">
        <w:rPr>
          <w:rFonts w:ascii="Times New Roman" w:hAnsi="Times New Roman" w:cs="Times New Roman"/>
        </w:rPr>
        <w:t xml:space="preserve"> (Berkeley: University of California Press, 1983), p42.</w:t>
      </w:r>
    </w:p>
  </w:endnote>
  <w:endnote w:id="25">
    <w:p w14:paraId="6813209E" w14:textId="77777777" w:rsidR="001D72CE" w:rsidRPr="00C53693" w:rsidRDefault="001D72CE">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Benedict G. E. Wiedemann, ‘The Kingdom of Portugal, Homage and Papal ‘Fiefdom’ in the Second Half of the Twelfth Century’, </w:t>
      </w:r>
      <w:r w:rsidRPr="00C53693">
        <w:rPr>
          <w:rFonts w:ascii="Times New Roman" w:hAnsi="Times New Roman" w:cs="Times New Roman"/>
          <w:i/>
        </w:rPr>
        <w:t>Journal of Medieval History</w:t>
      </w:r>
      <w:r w:rsidRPr="00C53693">
        <w:rPr>
          <w:rFonts w:ascii="Times New Roman" w:hAnsi="Times New Roman" w:cs="Times New Roman"/>
        </w:rPr>
        <w:t>, Volume 41, Issue 4 (2015), pp.432-445, p432.</w:t>
      </w:r>
    </w:p>
  </w:endnote>
  <w:endnote w:id="26">
    <w:p w14:paraId="40D74D4D" w14:textId="77777777" w:rsidR="001D72CE" w:rsidRPr="00C705B9" w:rsidRDefault="001D72CE" w:rsidP="001026D7">
      <w:pPr>
        <w:pStyle w:val="EndnoteText"/>
        <w:rPr>
          <w:rFonts w:ascii="Times New Roman" w:hAnsi="Times New Roman" w:cs="Times New Roman"/>
        </w:rPr>
      </w:pPr>
      <w:r w:rsidRPr="00C53693">
        <w:rPr>
          <w:rStyle w:val="EndnoteReference"/>
          <w:rFonts w:ascii="Times New Roman" w:hAnsi="Times New Roman" w:cs="Times New Roman"/>
        </w:rPr>
        <w:endnoteRef/>
      </w:r>
      <w:r w:rsidRPr="00C53693">
        <w:rPr>
          <w:rFonts w:ascii="Times New Roman" w:hAnsi="Times New Roman" w:cs="Times New Roman"/>
        </w:rPr>
        <w:t xml:space="preserve"> Giulio Ferrari, </w:t>
      </w:r>
      <w:r w:rsidRPr="00C53693">
        <w:rPr>
          <w:rFonts w:ascii="Times New Roman" w:hAnsi="Times New Roman" w:cs="Times New Roman"/>
          <w:i/>
        </w:rPr>
        <w:t>Bellezze architettoniche per le feste della chinea in Roma nei secoli XVII e XVIII</w:t>
      </w:r>
      <w:r w:rsidRPr="00C53693">
        <w:rPr>
          <w:rFonts w:ascii="Times New Roman" w:hAnsi="Times New Roman" w:cs="Times New Roman"/>
        </w:rPr>
        <w:t xml:space="preserve"> (Turin: C. Crudo, 1919).</w:t>
      </w:r>
    </w:p>
  </w:endnote>
  <w:endnote w:id="27">
    <w:p w14:paraId="1EBD5F23" w14:textId="77777777" w:rsidR="001D72CE" w:rsidRPr="00C705B9" w:rsidRDefault="001D72CE" w:rsidP="001026D7">
      <w:pPr>
        <w:spacing w:after="0" w:line="240" w:lineRule="auto"/>
        <w:rPr>
          <w:sz w:val="20"/>
          <w:szCs w:val="20"/>
        </w:rPr>
      </w:pPr>
      <w:r>
        <w:rPr>
          <w:rStyle w:val="EndnoteReference"/>
        </w:rPr>
        <w:endnoteRef/>
      </w:r>
      <w:r>
        <w:t xml:space="preserve"> </w:t>
      </w:r>
      <w:r w:rsidRPr="001026D7">
        <w:rPr>
          <w:sz w:val="20"/>
          <w:szCs w:val="20"/>
        </w:rPr>
        <w:t xml:space="preserve"> This ‘Chinese’ masquerade was in honour of the special ambassador to Rome of the king of France, Paul-Hippolyte de Beauvilliers who was Duke of Saint Aignan.</w:t>
      </w:r>
      <w:r>
        <w:rPr>
          <w:sz w:val="20"/>
          <w:szCs w:val="20"/>
        </w:rPr>
        <w:t xml:space="preserve"> For an account of Chinoiserie in Italy, see Francesco Morena, </w:t>
      </w:r>
      <w:r w:rsidRPr="00C705B9">
        <w:rPr>
          <w:i/>
          <w:sz w:val="20"/>
          <w:szCs w:val="20"/>
        </w:rPr>
        <w:t>Chinoiserie: The Evolution of the Oriental Style in Italy from the 14</w:t>
      </w:r>
      <w:r w:rsidRPr="00C705B9">
        <w:rPr>
          <w:i/>
          <w:sz w:val="20"/>
          <w:szCs w:val="20"/>
          <w:vertAlign w:val="superscript"/>
        </w:rPr>
        <w:t>th</w:t>
      </w:r>
      <w:r w:rsidRPr="00C705B9">
        <w:rPr>
          <w:i/>
          <w:sz w:val="20"/>
          <w:szCs w:val="20"/>
        </w:rPr>
        <w:t xml:space="preserve"> to the 19</w:t>
      </w:r>
      <w:r w:rsidRPr="00C705B9">
        <w:rPr>
          <w:i/>
          <w:sz w:val="20"/>
          <w:szCs w:val="20"/>
          <w:vertAlign w:val="superscript"/>
        </w:rPr>
        <w:t>th</w:t>
      </w:r>
      <w:r w:rsidRPr="00C705B9">
        <w:rPr>
          <w:i/>
          <w:sz w:val="20"/>
          <w:szCs w:val="20"/>
        </w:rPr>
        <w:t xml:space="preserve"> Century</w:t>
      </w:r>
      <w:r>
        <w:rPr>
          <w:i/>
          <w:sz w:val="20"/>
          <w:szCs w:val="20"/>
        </w:rPr>
        <w:t xml:space="preserve"> </w:t>
      </w:r>
      <w:r>
        <w:rPr>
          <w:sz w:val="20"/>
          <w:szCs w:val="20"/>
        </w:rPr>
        <w:t>(Florence: Centro Di, 2009).</w:t>
      </w:r>
    </w:p>
  </w:endnote>
  <w:endnote w:id="28">
    <w:p w14:paraId="61F78539" w14:textId="77777777" w:rsidR="001D72CE" w:rsidRDefault="001D72CE">
      <w:pPr>
        <w:pStyle w:val="EndnoteText"/>
      </w:pPr>
      <w:r>
        <w:rPr>
          <w:rStyle w:val="EndnoteReference"/>
        </w:rPr>
        <w:endnoteRef/>
      </w:r>
      <w:r>
        <w:t xml:space="preserve"> The painting is </w:t>
      </w:r>
      <w:r w:rsidRPr="001026D7">
        <w:t>displayed in the Musée des Beaux-Arts et d’Archéologie in Besançon</w:t>
      </w:r>
      <w:r>
        <w:t>.</w:t>
      </w:r>
    </w:p>
  </w:endnote>
  <w:endnote w:id="29">
    <w:p w14:paraId="6FBECECB" w14:textId="77777777" w:rsidR="001D72CE" w:rsidRDefault="001D72CE">
      <w:pPr>
        <w:pStyle w:val="EndnoteText"/>
      </w:pPr>
      <w:r>
        <w:rPr>
          <w:rStyle w:val="EndnoteReference"/>
        </w:rPr>
        <w:endnoteRef/>
      </w:r>
      <w:r>
        <w:t xml:space="preserve"> For an interpretation of this fresco see in particular </w:t>
      </w:r>
      <w:r w:rsidRPr="007B7452">
        <w:t xml:space="preserve">Mark Aston, ‘Allegory, Fact, and Meaning in Giambattista Tiepolo’s Four Continents in </w:t>
      </w:r>
      <w:bookmarkStart w:id="16" w:name="_Hlk504663927"/>
      <w:r w:rsidRPr="007B7452">
        <w:t>Würzburg</w:t>
      </w:r>
      <w:bookmarkEnd w:id="16"/>
      <w:r w:rsidRPr="007B7452">
        <w:t xml:space="preserve">’, </w:t>
      </w:r>
      <w:r w:rsidRPr="007B7452">
        <w:rPr>
          <w:i/>
        </w:rPr>
        <w:t>The Art Bulletin</w:t>
      </w:r>
      <w:r w:rsidRPr="007B7452">
        <w:t>, Vol.60, No.1 (March, 1978), pp.109-25</w:t>
      </w:r>
    </w:p>
  </w:endnote>
  <w:endnote w:id="30">
    <w:p w14:paraId="061041F4" w14:textId="77777777" w:rsidR="001D72CE" w:rsidRDefault="001D72CE">
      <w:pPr>
        <w:pStyle w:val="EndnoteText"/>
      </w:pPr>
      <w:r>
        <w:rPr>
          <w:rStyle w:val="EndnoteReference"/>
        </w:rPr>
        <w:endnoteRef/>
      </w:r>
      <w:r>
        <w:t xml:space="preserve"> For a discussion of patronage in 18</w:t>
      </w:r>
      <w:r w:rsidRPr="005A09E7">
        <w:rPr>
          <w:vertAlign w:val="superscript"/>
        </w:rPr>
        <w:t>th</w:t>
      </w:r>
      <w:r>
        <w:t xml:space="preserve"> century Rome see </w:t>
      </w:r>
      <w:r w:rsidRPr="005A09E7">
        <w:t>Heather Hyde Minor</w:t>
      </w:r>
      <w:r>
        <w:t>,</w:t>
      </w:r>
      <w:r w:rsidRPr="005A09E7">
        <w:t xml:space="preserve"> </w:t>
      </w:r>
      <w:r w:rsidRPr="005A09E7">
        <w:rPr>
          <w:i/>
        </w:rPr>
        <w:t>The Culture of Architecture in Enlightenment Rome</w:t>
      </w:r>
      <w:r>
        <w:t xml:space="preserve"> (University Park, PA: </w:t>
      </w:r>
      <w:r w:rsidRPr="005A09E7">
        <w:t>Pennsylvania State University Press</w:t>
      </w:r>
      <w:r>
        <w:t xml:space="preserve">, </w:t>
      </w:r>
      <w:r w:rsidRPr="005A09E7">
        <w:t>2010)</w:t>
      </w:r>
      <w:r>
        <w:t>.</w:t>
      </w:r>
    </w:p>
    <w:p w14:paraId="38BED906" w14:textId="77777777" w:rsidR="00C85320" w:rsidRPr="00C85320" w:rsidRDefault="00C85320" w:rsidP="00C85320">
      <w:pPr>
        <w:pStyle w:val="EndnoteText"/>
        <w:rPr>
          <w:rFonts w:ascii="Times New Roman" w:hAnsi="Times New Roman" w:cs="Times New Roman"/>
          <w:sz w:val="24"/>
          <w:szCs w:val="24"/>
        </w:rPr>
      </w:pPr>
    </w:p>
    <w:p w14:paraId="0C989B8A" w14:textId="77777777" w:rsidR="00C85320" w:rsidRDefault="00C85320" w:rsidP="00C85320">
      <w:pPr>
        <w:pStyle w:val="EndnoteText"/>
      </w:pPr>
    </w:p>
    <w:p w14:paraId="5593C73C" w14:textId="77777777" w:rsidR="00DF06AE" w:rsidRDefault="00133B9D" w:rsidP="00C85320">
      <w:pPr>
        <w:pStyle w:val="EndnoteText"/>
        <w:rPr>
          <w:rFonts w:ascii="Times New Roman" w:hAnsi="Times New Roman" w:cs="Times New Roman"/>
          <w:sz w:val="24"/>
          <w:szCs w:val="24"/>
        </w:rPr>
      </w:pPr>
      <w:r>
        <w:rPr>
          <w:rFonts w:ascii="Times New Roman" w:hAnsi="Times New Roman" w:cs="Times New Roman"/>
          <w:sz w:val="24"/>
          <w:szCs w:val="24"/>
        </w:rPr>
        <w:t>Bibliography</w:t>
      </w:r>
    </w:p>
    <w:p w14:paraId="214F3B4A" w14:textId="77777777" w:rsidR="00133B9D" w:rsidRDefault="00133B9D" w:rsidP="00133B9D">
      <w:pPr>
        <w:pStyle w:val="EndnoteText"/>
        <w:rPr>
          <w:rFonts w:ascii="Times New Roman" w:hAnsi="Times New Roman" w:cs="Times New Roman"/>
          <w:sz w:val="24"/>
          <w:szCs w:val="24"/>
        </w:rPr>
      </w:pPr>
    </w:p>
    <w:p w14:paraId="77A24E56" w14:textId="77777777" w:rsidR="00133B9D" w:rsidRDefault="00133B9D" w:rsidP="00133B9D">
      <w:pPr>
        <w:pStyle w:val="EndnoteText"/>
        <w:rPr>
          <w:rFonts w:ascii="Times New Roman" w:hAnsi="Times New Roman" w:cs="Times New Roman"/>
          <w:sz w:val="24"/>
          <w:szCs w:val="24"/>
        </w:rPr>
      </w:pPr>
      <w:r>
        <w:rPr>
          <w:rFonts w:ascii="Times New Roman" w:hAnsi="Times New Roman" w:cs="Times New Roman"/>
          <w:sz w:val="24"/>
          <w:szCs w:val="24"/>
        </w:rPr>
        <w:t xml:space="preserve">Beard, Mary, </w:t>
      </w:r>
      <w:r w:rsidRPr="00D10E2E">
        <w:rPr>
          <w:rFonts w:ascii="Times New Roman" w:hAnsi="Times New Roman" w:cs="Times New Roman"/>
          <w:i/>
          <w:sz w:val="24"/>
          <w:szCs w:val="24"/>
        </w:rPr>
        <w:t>The Roman Triumph</w:t>
      </w:r>
      <w:r>
        <w:rPr>
          <w:rFonts w:ascii="Times New Roman" w:hAnsi="Times New Roman" w:cs="Times New Roman"/>
          <w:sz w:val="24"/>
          <w:szCs w:val="24"/>
        </w:rPr>
        <w:t xml:space="preserve"> (Cambridge, MA: The Belknap Press of Harvard University Press, 2007)</w:t>
      </w:r>
    </w:p>
    <w:p w14:paraId="28A42BE2" w14:textId="77777777" w:rsidR="00133B9D" w:rsidRDefault="00133B9D" w:rsidP="00133B9D">
      <w:pPr>
        <w:pStyle w:val="EndnoteText"/>
        <w:rPr>
          <w:rFonts w:ascii="Times New Roman" w:hAnsi="Times New Roman" w:cs="Times New Roman"/>
          <w:sz w:val="24"/>
          <w:szCs w:val="24"/>
        </w:rPr>
      </w:pPr>
    </w:p>
    <w:p w14:paraId="3D3453A5" w14:textId="77777777" w:rsidR="00133B9D" w:rsidRDefault="00133B9D" w:rsidP="00133B9D">
      <w:pPr>
        <w:pStyle w:val="EndnoteText"/>
        <w:rPr>
          <w:rFonts w:ascii="Times New Roman" w:hAnsi="Times New Roman" w:cs="Times New Roman"/>
          <w:sz w:val="24"/>
          <w:szCs w:val="24"/>
        </w:rPr>
      </w:pPr>
      <w:r>
        <w:rPr>
          <w:rFonts w:ascii="Times New Roman" w:hAnsi="Times New Roman" w:cs="Times New Roman"/>
          <w:sz w:val="24"/>
          <w:szCs w:val="24"/>
        </w:rPr>
        <w:t xml:space="preserve">Fagiolo, Marcello, </w:t>
      </w:r>
      <w:r w:rsidRPr="00D10E2E">
        <w:rPr>
          <w:rFonts w:ascii="Times New Roman" w:hAnsi="Times New Roman" w:cs="Times New Roman"/>
          <w:i/>
          <w:sz w:val="24"/>
          <w:szCs w:val="24"/>
        </w:rPr>
        <w:t>La Festa a Roma: Dal Rinascimento al 1870</w:t>
      </w:r>
      <w:r>
        <w:rPr>
          <w:rFonts w:ascii="Times New Roman" w:hAnsi="Times New Roman" w:cs="Times New Roman"/>
          <w:sz w:val="24"/>
          <w:szCs w:val="24"/>
        </w:rPr>
        <w:t xml:space="preserve"> (Turin: Umberto Allemandi &amp; C, 1997)</w:t>
      </w:r>
    </w:p>
    <w:p w14:paraId="1B79B2EA" w14:textId="77777777" w:rsidR="00133B9D" w:rsidRDefault="00133B9D" w:rsidP="00133B9D">
      <w:pPr>
        <w:pStyle w:val="EndnoteText"/>
        <w:rPr>
          <w:rFonts w:ascii="Times New Roman" w:hAnsi="Times New Roman" w:cs="Times New Roman"/>
          <w:sz w:val="24"/>
          <w:szCs w:val="24"/>
        </w:rPr>
      </w:pPr>
    </w:p>
    <w:p w14:paraId="26D189E9" w14:textId="77777777" w:rsidR="00133B9D" w:rsidRPr="00CB3725" w:rsidRDefault="00133B9D" w:rsidP="00133B9D">
      <w:pPr>
        <w:pStyle w:val="EndnoteText"/>
        <w:rPr>
          <w:rFonts w:ascii="Times New Roman" w:hAnsi="Times New Roman" w:cs="Times New Roman"/>
          <w:sz w:val="24"/>
          <w:szCs w:val="24"/>
        </w:rPr>
      </w:pPr>
      <w:r w:rsidRPr="00CB3725">
        <w:rPr>
          <w:rFonts w:ascii="Times New Roman" w:hAnsi="Times New Roman" w:cs="Times New Roman"/>
          <w:sz w:val="24"/>
          <w:szCs w:val="24"/>
        </w:rPr>
        <w:t>Falassi</w:t>
      </w:r>
      <w:r>
        <w:rPr>
          <w:rFonts w:ascii="Times New Roman" w:hAnsi="Times New Roman" w:cs="Times New Roman"/>
          <w:sz w:val="24"/>
          <w:szCs w:val="24"/>
        </w:rPr>
        <w:t>, Alessandro</w:t>
      </w:r>
      <w:r w:rsidRPr="00CB3725">
        <w:rPr>
          <w:rFonts w:ascii="Times New Roman" w:hAnsi="Times New Roman" w:cs="Times New Roman"/>
          <w:sz w:val="24"/>
          <w:szCs w:val="24"/>
        </w:rPr>
        <w:t xml:space="preserve"> (ed.), </w:t>
      </w:r>
      <w:r w:rsidRPr="00CB3725">
        <w:rPr>
          <w:rFonts w:ascii="Times New Roman" w:hAnsi="Times New Roman" w:cs="Times New Roman"/>
          <w:i/>
          <w:sz w:val="24"/>
          <w:szCs w:val="24"/>
        </w:rPr>
        <w:t xml:space="preserve">Time Out of Time: Essays on the Festival </w:t>
      </w:r>
      <w:r w:rsidRPr="00CB3725">
        <w:rPr>
          <w:rFonts w:ascii="Times New Roman" w:hAnsi="Times New Roman" w:cs="Times New Roman"/>
          <w:sz w:val="24"/>
          <w:szCs w:val="24"/>
        </w:rPr>
        <w:t>(Albuquerque, NM: University of New Mexico Press, 1987)</w:t>
      </w:r>
    </w:p>
    <w:p w14:paraId="4FA46D63" w14:textId="77777777" w:rsidR="00133B9D" w:rsidRPr="00CB3725" w:rsidRDefault="00133B9D" w:rsidP="00133B9D">
      <w:pPr>
        <w:pStyle w:val="EndnoteText"/>
        <w:rPr>
          <w:rFonts w:ascii="Times New Roman" w:hAnsi="Times New Roman" w:cs="Times New Roman"/>
          <w:sz w:val="24"/>
          <w:szCs w:val="24"/>
        </w:rPr>
      </w:pPr>
    </w:p>
    <w:p w14:paraId="72053C37" w14:textId="77777777" w:rsidR="00133B9D" w:rsidRDefault="00133B9D" w:rsidP="00133B9D">
      <w:pPr>
        <w:pStyle w:val="EndnoteText"/>
        <w:rPr>
          <w:rFonts w:ascii="Times New Roman" w:hAnsi="Times New Roman" w:cs="Times New Roman"/>
          <w:sz w:val="24"/>
          <w:szCs w:val="24"/>
        </w:rPr>
      </w:pPr>
      <w:r w:rsidRPr="00CB3725">
        <w:rPr>
          <w:rFonts w:ascii="Times New Roman" w:hAnsi="Times New Roman" w:cs="Times New Roman"/>
          <w:sz w:val="24"/>
          <w:szCs w:val="24"/>
        </w:rPr>
        <w:t>Gilhus,</w:t>
      </w:r>
      <w:r>
        <w:rPr>
          <w:rFonts w:ascii="Times New Roman" w:hAnsi="Times New Roman" w:cs="Times New Roman"/>
          <w:sz w:val="24"/>
          <w:szCs w:val="24"/>
        </w:rPr>
        <w:t xml:space="preserve"> Saelid,</w:t>
      </w:r>
      <w:r w:rsidRPr="00CB3725">
        <w:rPr>
          <w:rFonts w:ascii="Times New Roman" w:hAnsi="Times New Roman" w:cs="Times New Roman"/>
          <w:sz w:val="24"/>
          <w:szCs w:val="24"/>
        </w:rPr>
        <w:t xml:space="preserve"> </w:t>
      </w:r>
      <w:r w:rsidRPr="00CB3725">
        <w:rPr>
          <w:rFonts w:ascii="Times New Roman" w:hAnsi="Times New Roman" w:cs="Times New Roman"/>
          <w:i/>
          <w:sz w:val="24"/>
          <w:szCs w:val="24"/>
        </w:rPr>
        <w:t>Animals, Gods and Humans: Changing Attitudes to Animals in Greek, Roman and Early Christian Thought</w:t>
      </w:r>
      <w:r w:rsidRPr="00CB3725">
        <w:rPr>
          <w:rFonts w:ascii="Times New Roman" w:hAnsi="Times New Roman" w:cs="Times New Roman"/>
          <w:sz w:val="24"/>
          <w:szCs w:val="24"/>
        </w:rPr>
        <w:t xml:space="preserve"> (London: Routledge, 2006)</w:t>
      </w:r>
      <w:r>
        <w:rPr>
          <w:rFonts w:ascii="Times New Roman" w:hAnsi="Times New Roman" w:cs="Times New Roman"/>
          <w:sz w:val="24"/>
          <w:szCs w:val="24"/>
        </w:rPr>
        <w:t xml:space="preserve"> </w:t>
      </w:r>
    </w:p>
    <w:p w14:paraId="4DE3EE3C" w14:textId="77777777" w:rsidR="00133B9D" w:rsidRDefault="00133B9D" w:rsidP="00133B9D">
      <w:pPr>
        <w:pStyle w:val="EndnoteText"/>
        <w:rPr>
          <w:rFonts w:ascii="Times New Roman" w:hAnsi="Times New Roman" w:cs="Times New Roman"/>
          <w:sz w:val="24"/>
          <w:szCs w:val="24"/>
        </w:rPr>
      </w:pPr>
    </w:p>
    <w:p w14:paraId="3C374F23" w14:textId="77777777" w:rsidR="00D10E2E" w:rsidRPr="00DF06AE" w:rsidRDefault="00D10E2E" w:rsidP="00C85320">
      <w:pPr>
        <w:pStyle w:val="EndnoteText"/>
        <w:rPr>
          <w:rFonts w:ascii="Times New Roman" w:hAnsi="Times New Roman" w:cs="Times New Roman"/>
          <w:sz w:val="24"/>
          <w:szCs w:val="24"/>
        </w:rPr>
      </w:pPr>
      <w:r>
        <w:rPr>
          <w:rFonts w:ascii="Times New Roman" w:hAnsi="Times New Roman" w:cs="Times New Roman"/>
          <w:sz w:val="24"/>
          <w:szCs w:val="24"/>
        </w:rPr>
        <w:t>Moore,</w:t>
      </w:r>
      <w:r w:rsidR="00133B9D">
        <w:rPr>
          <w:rFonts w:ascii="Times New Roman" w:hAnsi="Times New Roman" w:cs="Times New Roman"/>
          <w:sz w:val="24"/>
          <w:szCs w:val="24"/>
        </w:rPr>
        <w:t xml:space="preserve"> John E.,</w:t>
      </w:r>
      <w:r>
        <w:rPr>
          <w:rFonts w:ascii="Times New Roman" w:hAnsi="Times New Roman" w:cs="Times New Roman"/>
          <w:sz w:val="24"/>
          <w:szCs w:val="24"/>
        </w:rPr>
        <w:t xml:space="preserve"> ‘Building Set Pieces in Eighteenth-Century Rome: The Case of the Chinea,’ </w:t>
      </w:r>
      <w:r w:rsidRPr="00DF06AE">
        <w:rPr>
          <w:rFonts w:ascii="Times New Roman" w:hAnsi="Times New Roman" w:cs="Times New Roman"/>
          <w:i/>
          <w:sz w:val="24"/>
          <w:szCs w:val="24"/>
        </w:rPr>
        <w:t>Memoirs of the American Academy in Rome</w:t>
      </w:r>
      <w:r w:rsidRPr="00DF06AE">
        <w:rPr>
          <w:rFonts w:ascii="Times New Roman" w:hAnsi="Times New Roman" w:cs="Times New Roman"/>
          <w:sz w:val="24"/>
          <w:szCs w:val="24"/>
        </w:rPr>
        <w:t>, Vol.43/44 (1998-1999), pp.183-292.</w:t>
      </w:r>
    </w:p>
    <w:p w14:paraId="30E3B54D" w14:textId="77777777" w:rsidR="00DF06AE" w:rsidRDefault="00DF06AE" w:rsidP="00C85320">
      <w:pPr>
        <w:pStyle w:val="EndnoteText"/>
        <w:rPr>
          <w:rFonts w:ascii="Times New Roman" w:hAnsi="Times New Roman" w:cs="Times New Roman"/>
          <w:i/>
          <w:sz w:val="24"/>
          <w:szCs w:val="24"/>
        </w:rPr>
      </w:pPr>
    </w:p>
    <w:p w14:paraId="2AAF1EAB" w14:textId="77777777" w:rsidR="00D10E2E" w:rsidRDefault="00D10E2E" w:rsidP="00C85320">
      <w:pPr>
        <w:pStyle w:val="EndnoteText"/>
        <w:rPr>
          <w:rFonts w:ascii="Times New Roman" w:hAnsi="Times New Roman" w:cs="Times New Roman"/>
          <w:sz w:val="24"/>
          <w:szCs w:val="24"/>
        </w:rPr>
      </w:pPr>
      <w:r w:rsidRPr="00DF06AE">
        <w:rPr>
          <w:rFonts w:ascii="Times New Roman" w:hAnsi="Times New Roman" w:cs="Times New Roman"/>
          <w:sz w:val="24"/>
          <w:szCs w:val="24"/>
        </w:rPr>
        <w:t>Moore,</w:t>
      </w:r>
      <w:r w:rsidR="00133B9D">
        <w:rPr>
          <w:rFonts w:ascii="Times New Roman" w:hAnsi="Times New Roman" w:cs="Times New Roman"/>
          <w:sz w:val="24"/>
          <w:szCs w:val="24"/>
        </w:rPr>
        <w:t xml:space="preserve"> John E.,</w:t>
      </w:r>
      <w:r w:rsidRPr="00DF06AE">
        <w:rPr>
          <w:rFonts w:ascii="Times New Roman" w:hAnsi="Times New Roman" w:cs="Times New Roman"/>
          <w:sz w:val="24"/>
          <w:szCs w:val="24"/>
        </w:rPr>
        <w:t xml:space="preserve"> ‘Prints, Salami, and Cheese: </w:t>
      </w:r>
      <w:r>
        <w:rPr>
          <w:rFonts w:ascii="Times New Roman" w:hAnsi="Times New Roman" w:cs="Times New Roman"/>
          <w:sz w:val="24"/>
          <w:szCs w:val="24"/>
        </w:rPr>
        <w:t xml:space="preserve">Savoring the Roman Festival of the Chinea.’ </w:t>
      </w:r>
      <w:r w:rsidRPr="00D10E2E">
        <w:rPr>
          <w:rFonts w:ascii="Times New Roman" w:hAnsi="Times New Roman" w:cs="Times New Roman"/>
          <w:i/>
          <w:sz w:val="24"/>
          <w:szCs w:val="24"/>
        </w:rPr>
        <w:t>The Art Bulletin</w:t>
      </w:r>
      <w:r>
        <w:rPr>
          <w:rFonts w:ascii="Times New Roman" w:hAnsi="Times New Roman" w:cs="Times New Roman"/>
          <w:sz w:val="24"/>
          <w:szCs w:val="24"/>
        </w:rPr>
        <w:t>, Vol.77, Issue 4 (1995), pp.584-608.</w:t>
      </w:r>
    </w:p>
    <w:p w14:paraId="1B385BD7" w14:textId="77777777" w:rsidR="00D10E2E" w:rsidRDefault="00D10E2E" w:rsidP="00C85320">
      <w:pPr>
        <w:pStyle w:val="EndnoteText"/>
        <w:rPr>
          <w:rFonts w:ascii="Times New Roman" w:hAnsi="Times New Roman" w:cs="Times New Roman"/>
          <w:sz w:val="24"/>
          <w:szCs w:val="24"/>
        </w:rPr>
      </w:pPr>
    </w:p>
    <w:p w14:paraId="5C281927" w14:textId="77777777" w:rsidR="00D10E2E" w:rsidRDefault="00D10E2E" w:rsidP="00C85320">
      <w:pPr>
        <w:pStyle w:val="EndnoteText"/>
        <w:rPr>
          <w:rFonts w:ascii="Times New Roman" w:hAnsi="Times New Roman" w:cs="Times New Roman"/>
          <w:sz w:val="24"/>
          <w:szCs w:val="24"/>
        </w:rPr>
      </w:pPr>
      <w:r>
        <w:rPr>
          <w:rFonts w:ascii="Times New Roman" w:hAnsi="Times New Roman" w:cs="Times New Roman"/>
          <w:sz w:val="24"/>
          <w:szCs w:val="24"/>
        </w:rPr>
        <w:t>Pascal,</w:t>
      </w:r>
      <w:r w:rsidR="00133B9D">
        <w:rPr>
          <w:rFonts w:ascii="Times New Roman" w:hAnsi="Times New Roman" w:cs="Times New Roman"/>
          <w:sz w:val="24"/>
          <w:szCs w:val="24"/>
        </w:rPr>
        <w:t xml:space="preserve"> C. Bennett,</w:t>
      </w:r>
      <w:r>
        <w:rPr>
          <w:rFonts w:ascii="Times New Roman" w:hAnsi="Times New Roman" w:cs="Times New Roman"/>
          <w:sz w:val="24"/>
          <w:szCs w:val="24"/>
        </w:rPr>
        <w:t xml:space="preserve"> ‘October Horse’, </w:t>
      </w:r>
      <w:r w:rsidRPr="00D10E2E">
        <w:rPr>
          <w:rFonts w:ascii="Times New Roman" w:hAnsi="Times New Roman" w:cs="Times New Roman"/>
          <w:i/>
          <w:sz w:val="24"/>
          <w:szCs w:val="24"/>
        </w:rPr>
        <w:t>Harvard Studies in Classical Philology</w:t>
      </w:r>
      <w:r>
        <w:rPr>
          <w:rFonts w:ascii="Times New Roman" w:hAnsi="Times New Roman" w:cs="Times New Roman"/>
          <w:sz w:val="24"/>
          <w:szCs w:val="24"/>
        </w:rPr>
        <w:t>, Vol.85 (1981), pp.261-91.</w:t>
      </w:r>
    </w:p>
    <w:p w14:paraId="0959C30A" w14:textId="77777777" w:rsidR="00D10E2E" w:rsidRDefault="00D10E2E" w:rsidP="00C85320">
      <w:pPr>
        <w:pStyle w:val="EndnoteText"/>
        <w:rPr>
          <w:rFonts w:ascii="Times New Roman" w:hAnsi="Times New Roman" w:cs="Times New Roman"/>
          <w:sz w:val="24"/>
          <w:szCs w:val="24"/>
        </w:rPr>
      </w:pPr>
    </w:p>
    <w:p w14:paraId="539C1040" w14:textId="77777777" w:rsidR="00D10E2E" w:rsidRDefault="00D10E2E" w:rsidP="00C85320">
      <w:pPr>
        <w:pStyle w:val="EndnoteText"/>
        <w:rPr>
          <w:rFonts w:ascii="Times New Roman" w:hAnsi="Times New Roman" w:cs="Times New Roman"/>
          <w:sz w:val="24"/>
          <w:szCs w:val="24"/>
        </w:rPr>
      </w:pPr>
      <w:r>
        <w:rPr>
          <w:rFonts w:ascii="Times New Roman" w:hAnsi="Times New Roman" w:cs="Times New Roman"/>
          <w:sz w:val="24"/>
          <w:szCs w:val="24"/>
        </w:rPr>
        <w:t xml:space="preserve">Rykwert, </w:t>
      </w:r>
      <w:r w:rsidR="00133B9D">
        <w:rPr>
          <w:rFonts w:ascii="Times New Roman" w:hAnsi="Times New Roman" w:cs="Times New Roman"/>
          <w:sz w:val="24"/>
          <w:szCs w:val="24"/>
        </w:rPr>
        <w:t xml:space="preserve">Joseph, </w:t>
      </w:r>
      <w:r w:rsidRPr="00D10E2E">
        <w:rPr>
          <w:rFonts w:ascii="Times New Roman" w:hAnsi="Times New Roman" w:cs="Times New Roman"/>
          <w:i/>
          <w:sz w:val="24"/>
          <w:szCs w:val="24"/>
        </w:rPr>
        <w:t>The Idea of a Town: The Anthropology of Urban Form in Rome, Italy and the Ancient World</w:t>
      </w:r>
      <w:r>
        <w:rPr>
          <w:rFonts w:ascii="Times New Roman" w:hAnsi="Times New Roman" w:cs="Times New Roman"/>
          <w:sz w:val="24"/>
          <w:szCs w:val="24"/>
        </w:rPr>
        <w:t xml:space="preserve"> (London: Faber and Faber, 1976)</w:t>
      </w:r>
    </w:p>
    <w:p w14:paraId="25285B3E" w14:textId="77777777" w:rsidR="00D10E2E" w:rsidRDefault="00D10E2E" w:rsidP="00C85320">
      <w:pPr>
        <w:pStyle w:val="EndnoteText"/>
        <w:rPr>
          <w:rFonts w:ascii="Times New Roman" w:hAnsi="Times New Roman" w:cs="Times New Roman"/>
          <w:sz w:val="24"/>
          <w:szCs w:val="24"/>
        </w:rPr>
      </w:pPr>
    </w:p>
    <w:p w14:paraId="184113E5" w14:textId="77777777" w:rsidR="00D10E2E" w:rsidRDefault="00D10E2E" w:rsidP="00C85320">
      <w:pPr>
        <w:pStyle w:val="EndnoteText"/>
        <w:rPr>
          <w:rFonts w:ascii="Times New Roman" w:hAnsi="Times New Roman" w:cs="Times New Roman"/>
          <w:sz w:val="24"/>
          <w:szCs w:val="24"/>
        </w:rPr>
      </w:pPr>
      <w:r>
        <w:rPr>
          <w:rFonts w:ascii="Times New Roman" w:hAnsi="Times New Roman" w:cs="Times New Roman"/>
          <w:sz w:val="24"/>
          <w:szCs w:val="24"/>
        </w:rPr>
        <w:t>Temple,</w:t>
      </w:r>
      <w:r w:rsidR="00133B9D">
        <w:rPr>
          <w:rFonts w:ascii="Times New Roman" w:hAnsi="Times New Roman" w:cs="Times New Roman"/>
          <w:sz w:val="24"/>
          <w:szCs w:val="24"/>
        </w:rPr>
        <w:t xml:space="preserve"> Nicholas,</w:t>
      </w:r>
      <w:r>
        <w:rPr>
          <w:rFonts w:ascii="Times New Roman" w:hAnsi="Times New Roman" w:cs="Times New Roman"/>
          <w:sz w:val="24"/>
          <w:szCs w:val="24"/>
        </w:rPr>
        <w:t xml:space="preserve"> </w:t>
      </w:r>
      <w:r w:rsidRPr="00D10E2E">
        <w:rPr>
          <w:rFonts w:ascii="Times New Roman" w:hAnsi="Times New Roman" w:cs="Times New Roman"/>
          <w:i/>
          <w:sz w:val="24"/>
          <w:szCs w:val="24"/>
        </w:rPr>
        <w:t>renovatio urbis: Architecture, Ceremony and Urbanism in the Rome of Julius II</w:t>
      </w:r>
      <w:r>
        <w:rPr>
          <w:rFonts w:ascii="Times New Roman" w:hAnsi="Times New Roman" w:cs="Times New Roman"/>
          <w:sz w:val="24"/>
          <w:szCs w:val="24"/>
        </w:rPr>
        <w:t xml:space="preserve"> (London: Routledge, 2011)</w:t>
      </w:r>
    </w:p>
    <w:p w14:paraId="13A4FEC7" w14:textId="77777777" w:rsidR="00D10E2E" w:rsidRDefault="00D10E2E" w:rsidP="00C85320">
      <w:pPr>
        <w:pStyle w:val="EndnoteText"/>
        <w:rPr>
          <w:rFonts w:ascii="Times New Roman" w:hAnsi="Times New Roman" w:cs="Times New Roman"/>
          <w:sz w:val="24"/>
          <w:szCs w:val="24"/>
        </w:rPr>
      </w:pPr>
    </w:p>
    <w:p w14:paraId="3BCECFD1" w14:textId="77777777" w:rsidR="00CB3725" w:rsidRDefault="00CB3725">
      <w:pPr>
        <w:pStyle w:val="EndnoteText"/>
        <w:rPr>
          <w:rFonts w:ascii="Times New Roman" w:hAnsi="Times New Roman" w:cs="Times New Roman"/>
          <w:sz w:val="24"/>
          <w:szCs w:val="24"/>
        </w:rPr>
      </w:pPr>
      <w:r w:rsidRPr="00CB3725">
        <w:rPr>
          <w:rFonts w:ascii="Times New Roman" w:hAnsi="Times New Roman" w:cs="Times New Roman"/>
          <w:sz w:val="24"/>
          <w:szCs w:val="24"/>
        </w:rPr>
        <w:t xml:space="preserve">Versnel, </w:t>
      </w:r>
      <w:r w:rsidR="00133B9D">
        <w:rPr>
          <w:rFonts w:ascii="Times New Roman" w:hAnsi="Times New Roman" w:cs="Times New Roman"/>
          <w:sz w:val="24"/>
          <w:szCs w:val="24"/>
        </w:rPr>
        <w:t>H.S.,</w:t>
      </w:r>
      <w:r w:rsidRPr="00CB3725">
        <w:rPr>
          <w:rFonts w:ascii="Times New Roman" w:hAnsi="Times New Roman" w:cs="Times New Roman"/>
          <w:sz w:val="24"/>
          <w:szCs w:val="24"/>
        </w:rPr>
        <w:t xml:space="preserve">‘Saturnus and the Saturnalia’, in H.S.Versnel, </w:t>
      </w:r>
      <w:r w:rsidRPr="00CB3725">
        <w:rPr>
          <w:rFonts w:ascii="Times New Roman" w:hAnsi="Times New Roman" w:cs="Times New Roman"/>
          <w:i/>
          <w:sz w:val="24"/>
          <w:szCs w:val="24"/>
        </w:rPr>
        <w:t>Inconsistencies in Greek and Roman Religion</w:t>
      </w:r>
      <w:r w:rsidRPr="00CB3725">
        <w:rPr>
          <w:rFonts w:ascii="Times New Roman" w:hAnsi="Times New Roman" w:cs="Times New Roman"/>
          <w:sz w:val="24"/>
          <w:szCs w:val="24"/>
        </w:rPr>
        <w:t xml:space="preserve">, </w:t>
      </w:r>
      <w:r w:rsidRPr="00CB3725">
        <w:rPr>
          <w:rFonts w:ascii="Times New Roman" w:hAnsi="Times New Roman" w:cs="Times New Roman"/>
          <w:i/>
          <w:sz w:val="24"/>
          <w:szCs w:val="24"/>
        </w:rPr>
        <w:t>Volume 2: Transition and Reversal in Myth and Ritual</w:t>
      </w:r>
      <w:r w:rsidRPr="00CB3725">
        <w:rPr>
          <w:rFonts w:ascii="Times New Roman" w:hAnsi="Times New Roman" w:cs="Times New Roman"/>
          <w:sz w:val="24"/>
          <w:szCs w:val="24"/>
        </w:rPr>
        <w:t xml:space="preserve"> (Leiden: Brill, 1992), pp 136-227.</w:t>
      </w:r>
    </w:p>
    <w:p w14:paraId="08074F42" w14:textId="77777777" w:rsidR="00133B9D" w:rsidRDefault="00133B9D">
      <w:pPr>
        <w:pStyle w:val="EndnoteText"/>
        <w:rPr>
          <w:rFonts w:ascii="Times New Roman" w:hAnsi="Times New Roman" w:cs="Times New Roman"/>
          <w:sz w:val="24"/>
          <w:szCs w:val="24"/>
        </w:rPr>
      </w:pPr>
    </w:p>
    <w:p w14:paraId="1B7851A6" w14:textId="77777777" w:rsidR="00CB3725" w:rsidRDefault="00CB3725">
      <w:pPr>
        <w:pStyle w:val="EndnoteText"/>
        <w:rPr>
          <w:rFonts w:ascii="Times New Roman" w:hAnsi="Times New Roman" w:cs="Times New Roman"/>
          <w:sz w:val="24"/>
          <w:szCs w:val="24"/>
        </w:rPr>
      </w:pPr>
      <w:r w:rsidRPr="00CB3725">
        <w:rPr>
          <w:rFonts w:ascii="Times New Roman" w:hAnsi="Times New Roman" w:cs="Times New Roman"/>
          <w:sz w:val="24"/>
          <w:szCs w:val="24"/>
        </w:rPr>
        <w:t>Versnel,</w:t>
      </w:r>
      <w:r w:rsidR="00133B9D">
        <w:rPr>
          <w:rFonts w:ascii="Times New Roman" w:hAnsi="Times New Roman" w:cs="Times New Roman"/>
          <w:sz w:val="24"/>
          <w:szCs w:val="24"/>
        </w:rPr>
        <w:t xml:space="preserve"> H.S.,</w:t>
      </w:r>
      <w:r w:rsidRPr="00CB3725">
        <w:rPr>
          <w:rFonts w:ascii="Times New Roman" w:hAnsi="Times New Roman" w:cs="Times New Roman"/>
          <w:sz w:val="24"/>
          <w:szCs w:val="24"/>
        </w:rPr>
        <w:t xml:space="preserve"> </w:t>
      </w:r>
      <w:r w:rsidRPr="00CB3725">
        <w:rPr>
          <w:rFonts w:ascii="Times New Roman" w:hAnsi="Times New Roman" w:cs="Times New Roman"/>
          <w:i/>
          <w:sz w:val="24"/>
          <w:szCs w:val="24"/>
        </w:rPr>
        <w:t>Triumphus: An Enquiry into the Origin, Development and Meaning of the Roman Triumph</w:t>
      </w:r>
      <w:r w:rsidRPr="00CB3725">
        <w:rPr>
          <w:rFonts w:ascii="Times New Roman" w:hAnsi="Times New Roman" w:cs="Times New Roman"/>
          <w:sz w:val="24"/>
          <w:szCs w:val="24"/>
        </w:rPr>
        <w:t xml:space="preserve"> (Leiden: E.J. Brill, 1970)  </w:t>
      </w:r>
    </w:p>
    <w:p w14:paraId="71E10965" w14:textId="77777777" w:rsidR="00CB3725" w:rsidRDefault="00CB3725">
      <w:pPr>
        <w:pStyle w:val="EndnoteText"/>
        <w:rPr>
          <w:rFonts w:ascii="Times New Roman" w:hAnsi="Times New Roman" w:cs="Times New Roman"/>
          <w:sz w:val="24"/>
          <w:szCs w:val="24"/>
        </w:rPr>
      </w:pPr>
    </w:p>
    <w:p w14:paraId="61325B74" w14:textId="77777777" w:rsidR="00C85320" w:rsidRPr="00CB3725" w:rsidRDefault="00C85320" w:rsidP="00CB3725">
      <w:pPr>
        <w:pStyle w:val="EndnoteText"/>
        <w:rPr>
          <w:rFonts w:ascii="Times New Roman" w:hAnsi="Times New Roman" w:cs="Times New Roman"/>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3472653"/>
      <w:docPartObj>
        <w:docPartGallery w:val="Page Numbers (Bottom of Page)"/>
        <w:docPartUnique/>
      </w:docPartObj>
    </w:sdtPr>
    <w:sdtEndPr>
      <w:rPr>
        <w:noProof/>
      </w:rPr>
    </w:sdtEndPr>
    <w:sdtContent>
      <w:p w14:paraId="437CA317" w14:textId="77777777" w:rsidR="001D72CE" w:rsidRDefault="001D72CE">
        <w:pPr>
          <w:pStyle w:val="Footer"/>
          <w:jc w:val="center"/>
        </w:pPr>
        <w:r>
          <w:fldChar w:fldCharType="begin"/>
        </w:r>
        <w:r>
          <w:instrText xml:space="preserve"> PAGE   \* MERGEFORMAT </w:instrText>
        </w:r>
        <w:r>
          <w:fldChar w:fldCharType="separate"/>
        </w:r>
        <w:r w:rsidR="009D4107">
          <w:rPr>
            <w:noProof/>
          </w:rPr>
          <w:t>2</w:t>
        </w:r>
        <w:r>
          <w:rPr>
            <w:noProof/>
          </w:rPr>
          <w:fldChar w:fldCharType="end"/>
        </w:r>
      </w:p>
    </w:sdtContent>
  </w:sdt>
  <w:p w14:paraId="1F897644" w14:textId="77777777" w:rsidR="001D72CE" w:rsidRDefault="001D7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5D7D6" w14:textId="77777777" w:rsidR="00AE6927" w:rsidRDefault="00AE6927" w:rsidP="00102ED1">
      <w:pPr>
        <w:spacing w:after="0" w:line="240" w:lineRule="auto"/>
      </w:pPr>
      <w:r>
        <w:separator/>
      </w:r>
    </w:p>
  </w:footnote>
  <w:footnote w:type="continuationSeparator" w:id="0">
    <w:p w14:paraId="4B9F050F" w14:textId="77777777" w:rsidR="00AE6927" w:rsidRDefault="00AE6927" w:rsidP="00102E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C478D"/>
    <w:multiLevelType w:val="hybridMultilevel"/>
    <w:tmpl w:val="1EE470B2"/>
    <w:lvl w:ilvl="0" w:tplc="30EACE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697B6A2A"/>
    <w:multiLevelType w:val="hybridMultilevel"/>
    <w:tmpl w:val="EA344D4E"/>
    <w:lvl w:ilvl="0" w:tplc="7D8CD99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C8A"/>
    <w:rsid w:val="000028BC"/>
    <w:rsid w:val="00003206"/>
    <w:rsid w:val="00003D42"/>
    <w:rsid w:val="00006D3B"/>
    <w:rsid w:val="00012523"/>
    <w:rsid w:val="00017589"/>
    <w:rsid w:val="00017F9F"/>
    <w:rsid w:val="00031658"/>
    <w:rsid w:val="000324E4"/>
    <w:rsid w:val="00040D30"/>
    <w:rsid w:val="000412C0"/>
    <w:rsid w:val="00043F2A"/>
    <w:rsid w:val="00044858"/>
    <w:rsid w:val="000458DB"/>
    <w:rsid w:val="00047609"/>
    <w:rsid w:val="000502D4"/>
    <w:rsid w:val="00050953"/>
    <w:rsid w:val="00052C9B"/>
    <w:rsid w:val="00052F0F"/>
    <w:rsid w:val="00060BBD"/>
    <w:rsid w:val="000620D7"/>
    <w:rsid w:val="00074E81"/>
    <w:rsid w:val="00075074"/>
    <w:rsid w:val="00075986"/>
    <w:rsid w:val="00080D4A"/>
    <w:rsid w:val="000836A7"/>
    <w:rsid w:val="00083B81"/>
    <w:rsid w:val="00085E0E"/>
    <w:rsid w:val="00090233"/>
    <w:rsid w:val="00090BD0"/>
    <w:rsid w:val="000913FF"/>
    <w:rsid w:val="00093E88"/>
    <w:rsid w:val="000A1666"/>
    <w:rsid w:val="000A31DF"/>
    <w:rsid w:val="000A5998"/>
    <w:rsid w:val="000A7CFC"/>
    <w:rsid w:val="000B03F9"/>
    <w:rsid w:val="000B2D89"/>
    <w:rsid w:val="000C0229"/>
    <w:rsid w:val="000C21DD"/>
    <w:rsid w:val="000C3259"/>
    <w:rsid w:val="000C332C"/>
    <w:rsid w:val="000D1ED3"/>
    <w:rsid w:val="000D3F60"/>
    <w:rsid w:val="000D4CCA"/>
    <w:rsid w:val="000D55D0"/>
    <w:rsid w:val="000D5630"/>
    <w:rsid w:val="000D628B"/>
    <w:rsid w:val="000D66FE"/>
    <w:rsid w:val="000E388F"/>
    <w:rsid w:val="000E4C65"/>
    <w:rsid w:val="000E7489"/>
    <w:rsid w:val="000F6733"/>
    <w:rsid w:val="000F7040"/>
    <w:rsid w:val="001026D7"/>
    <w:rsid w:val="00102ED1"/>
    <w:rsid w:val="00104CD6"/>
    <w:rsid w:val="00105379"/>
    <w:rsid w:val="00105C03"/>
    <w:rsid w:val="00112B88"/>
    <w:rsid w:val="0011699B"/>
    <w:rsid w:val="001171A2"/>
    <w:rsid w:val="00121F98"/>
    <w:rsid w:val="00123626"/>
    <w:rsid w:val="001312EC"/>
    <w:rsid w:val="001324EF"/>
    <w:rsid w:val="00132C29"/>
    <w:rsid w:val="00132CC8"/>
    <w:rsid w:val="00133B76"/>
    <w:rsid w:val="00133B9D"/>
    <w:rsid w:val="001372D0"/>
    <w:rsid w:val="00140590"/>
    <w:rsid w:val="001444C6"/>
    <w:rsid w:val="0014509A"/>
    <w:rsid w:val="0014597C"/>
    <w:rsid w:val="00156AC9"/>
    <w:rsid w:val="001579BF"/>
    <w:rsid w:val="00157AF3"/>
    <w:rsid w:val="0016387D"/>
    <w:rsid w:val="001677BF"/>
    <w:rsid w:val="00167F70"/>
    <w:rsid w:val="00170186"/>
    <w:rsid w:val="00173560"/>
    <w:rsid w:val="00174090"/>
    <w:rsid w:val="00174C3C"/>
    <w:rsid w:val="00177FE9"/>
    <w:rsid w:val="0018272C"/>
    <w:rsid w:val="00185153"/>
    <w:rsid w:val="0018680B"/>
    <w:rsid w:val="001874A8"/>
    <w:rsid w:val="00190638"/>
    <w:rsid w:val="00192540"/>
    <w:rsid w:val="00192CC3"/>
    <w:rsid w:val="00194AA9"/>
    <w:rsid w:val="00197A1A"/>
    <w:rsid w:val="001A0E79"/>
    <w:rsid w:val="001A1976"/>
    <w:rsid w:val="001B4537"/>
    <w:rsid w:val="001C3227"/>
    <w:rsid w:val="001C3938"/>
    <w:rsid w:val="001C48AF"/>
    <w:rsid w:val="001C4C5B"/>
    <w:rsid w:val="001C4EC5"/>
    <w:rsid w:val="001C5B99"/>
    <w:rsid w:val="001C5F74"/>
    <w:rsid w:val="001D1FC1"/>
    <w:rsid w:val="001D49D5"/>
    <w:rsid w:val="001D72CE"/>
    <w:rsid w:val="001D7A37"/>
    <w:rsid w:val="001E1543"/>
    <w:rsid w:val="001E313F"/>
    <w:rsid w:val="001E368C"/>
    <w:rsid w:val="001E36B2"/>
    <w:rsid w:val="001F1089"/>
    <w:rsid w:val="001F34D7"/>
    <w:rsid w:val="001F5596"/>
    <w:rsid w:val="00200D94"/>
    <w:rsid w:val="00203AC4"/>
    <w:rsid w:val="002117A8"/>
    <w:rsid w:val="00211971"/>
    <w:rsid w:val="002131A6"/>
    <w:rsid w:val="002131B7"/>
    <w:rsid w:val="00220305"/>
    <w:rsid w:val="00222F4E"/>
    <w:rsid w:val="002233C7"/>
    <w:rsid w:val="00223809"/>
    <w:rsid w:val="00225624"/>
    <w:rsid w:val="002269B8"/>
    <w:rsid w:val="002316FC"/>
    <w:rsid w:val="002348E6"/>
    <w:rsid w:val="00240058"/>
    <w:rsid w:val="002438B3"/>
    <w:rsid w:val="002505E4"/>
    <w:rsid w:val="002553F6"/>
    <w:rsid w:val="0025735F"/>
    <w:rsid w:val="00273F2B"/>
    <w:rsid w:val="00275D65"/>
    <w:rsid w:val="0027687B"/>
    <w:rsid w:val="00276C8C"/>
    <w:rsid w:val="00277A30"/>
    <w:rsid w:val="002815FE"/>
    <w:rsid w:val="0028172C"/>
    <w:rsid w:val="00284D47"/>
    <w:rsid w:val="0028544F"/>
    <w:rsid w:val="00286A8C"/>
    <w:rsid w:val="002876F3"/>
    <w:rsid w:val="00291D4C"/>
    <w:rsid w:val="0029435A"/>
    <w:rsid w:val="00294A74"/>
    <w:rsid w:val="002A72A6"/>
    <w:rsid w:val="002B12A0"/>
    <w:rsid w:val="002B15B4"/>
    <w:rsid w:val="002B1792"/>
    <w:rsid w:val="002C025C"/>
    <w:rsid w:val="002C2AE4"/>
    <w:rsid w:val="002C73AC"/>
    <w:rsid w:val="002D1312"/>
    <w:rsid w:val="002D259D"/>
    <w:rsid w:val="002D4217"/>
    <w:rsid w:val="002E06EE"/>
    <w:rsid w:val="002E53E1"/>
    <w:rsid w:val="002F1925"/>
    <w:rsid w:val="002F34B0"/>
    <w:rsid w:val="002F48CB"/>
    <w:rsid w:val="003019C6"/>
    <w:rsid w:val="003050B3"/>
    <w:rsid w:val="00314B3C"/>
    <w:rsid w:val="00314CE8"/>
    <w:rsid w:val="00314D5F"/>
    <w:rsid w:val="003153CE"/>
    <w:rsid w:val="00320790"/>
    <w:rsid w:val="00321C89"/>
    <w:rsid w:val="00322378"/>
    <w:rsid w:val="00323EAB"/>
    <w:rsid w:val="003256C8"/>
    <w:rsid w:val="00325A8B"/>
    <w:rsid w:val="00327334"/>
    <w:rsid w:val="00330337"/>
    <w:rsid w:val="00331310"/>
    <w:rsid w:val="003315F7"/>
    <w:rsid w:val="00331B4D"/>
    <w:rsid w:val="00334852"/>
    <w:rsid w:val="0033692F"/>
    <w:rsid w:val="00340F06"/>
    <w:rsid w:val="00341D6D"/>
    <w:rsid w:val="0034345B"/>
    <w:rsid w:val="0034418C"/>
    <w:rsid w:val="003442DE"/>
    <w:rsid w:val="00352C17"/>
    <w:rsid w:val="0035569E"/>
    <w:rsid w:val="003601B6"/>
    <w:rsid w:val="00362D93"/>
    <w:rsid w:val="0036749D"/>
    <w:rsid w:val="0037364A"/>
    <w:rsid w:val="00376987"/>
    <w:rsid w:val="00377811"/>
    <w:rsid w:val="00377D12"/>
    <w:rsid w:val="00381A43"/>
    <w:rsid w:val="00386F58"/>
    <w:rsid w:val="0038734C"/>
    <w:rsid w:val="00390EB2"/>
    <w:rsid w:val="003939E7"/>
    <w:rsid w:val="0039415D"/>
    <w:rsid w:val="00396913"/>
    <w:rsid w:val="003A5104"/>
    <w:rsid w:val="003B051E"/>
    <w:rsid w:val="003B5D2F"/>
    <w:rsid w:val="003C08F5"/>
    <w:rsid w:val="003C506B"/>
    <w:rsid w:val="003C6329"/>
    <w:rsid w:val="003C7F12"/>
    <w:rsid w:val="003D1493"/>
    <w:rsid w:val="003D5B10"/>
    <w:rsid w:val="003E3977"/>
    <w:rsid w:val="003E658E"/>
    <w:rsid w:val="003E6B21"/>
    <w:rsid w:val="003F0326"/>
    <w:rsid w:val="003F1807"/>
    <w:rsid w:val="003F51EF"/>
    <w:rsid w:val="003F589F"/>
    <w:rsid w:val="003F70B6"/>
    <w:rsid w:val="00400D63"/>
    <w:rsid w:val="00402592"/>
    <w:rsid w:val="0040375E"/>
    <w:rsid w:val="00411DAA"/>
    <w:rsid w:val="00414590"/>
    <w:rsid w:val="00415269"/>
    <w:rsid w:val="00421A64"/>
    <w:rsid w:val="004228EB"/>
    <w:rsid w:val="00422CAE"/>
    <w:rsid w:val="00424DED"/>
    <w:rsid w:val="0042614F"/>
    <w:rsid w:val="00427223"/>
    <w:rsid w:val="004320DE"/>
    <w:rsid w:val="00440E53"/>
    <w:rsid w:val="00442D91"/>
    <w:rsid w:val="00446750"/>
    <w:rsid w:val="00452D7E"/>
    <w:rsid w:val="00454D63"/>
    <w:rsid w:val="004567F5"/>
    <w:rsid w:val="00462AF8"/>
    <w:rsid w:val="00462B29"/>
    <w:rsid w:val="00463AFC"/>
    <w:rsid w:val="004641E8"/>
    <w:rsid w:val="00467E5D"/>
    <w:rsid w:val="00473292"/>
    <w:rsid w:val="00474054"/>
    <w:rsid w:val="00477B49"/>
    <w:rsid w:val="00477BE5"/>
    <w:rsid w:val="00481F28"/>
    <w:rsid w:val="0048493A"/>
    <w:rsid w:val="004859B2"/>
    <w:rsid w:val="0049007A"/>
    <w:rsid w:val="0049214D"/>
    <w:rsid w:val="00495572"/>
    <w:rsid w:val="004A105C"/>
    <w:rsid w:val="004A316A"/>
    <w:rsid w:val="004A3E9D"/>
    <w:rsid w:val="004B6C13"/>
    <w:rsid w:val="004C05A8"/>
    <w:rsid w:val="004C7358"/>
    <w:rsid w:val="004C7D6F"/>
    <w:rsid w:val="004D2A50"/>
    <w:rsid w:val="004D38E9"/>
    <w:rsid w:val="004F504E"/>
    <w:rsid w:val="004F5C7E"/>
    <w:rsid w:val="004F6701"/>
    <w:rsid w:val="0050434B"/>
    <w:rsid w:val="00512775"/>
    <w:rsid w:val="00523479"/>
    <w:rsid w:val="0052574F"/>
    <w:rsid w:val="00526219"/>
    <w:rsid w:val="0053442C"/>
    <w:rsid w:val="005376A9"/>
    <w:rsid w:val="00540693"/>
    <w:rsid w:val="00542E5C"/>
    <w:rsid w:val="00543563"/>
    <w:rsid w:val="005527FC"/>
    <w:rsid w:val="00567A8E"/>
    <w:rsid w:val="0057288F"/>
    <w:rsid w:val="00581604"/>
    <w:rsid w:val="00584D18"/>
    <w:rsid w:val="00591AA2"/>
    <w:rsid w:val="00595B39"/>
    <w:rsid w:val="00596BE1"/>
    <w:rsid w:val="005A09E7"/>
    <w:rsid w:val="005A50E8"/>
    <w:rsid w:val="005A6AFF"/>
    <w:rsid w:val="005B2930"/>
    <w:rsid w:val="005B2F3A"/>
    <w:rsid w:val="005B4E92"/>
    <w:rsid w:val="005C2421"/>
    <w:rsid w:val="005C3513"/>
    <w:rsid w:val="005C79D5"/>
    <w:rsid w:val="005D2B82"/>
    <w:rsid w:val="005D4651"/>
    <w:rsid w:val="005D6080"/>
    <w:rsid w:val="005D6978"/>
    <w:rsid w:val="005E1256"/>
    <w:rsid w:val="005E771F"/>
    <w:rsid w:val="00602922"/>
    <w:rsid w:val="006110F2"/>
    <w:rsid w:val="00612543"/>
    <w:rsid w:val="00614F4A"/>
    <w:rsid w:val="006202AF"/>
    <w:rsid w:val="00620EC8"/>
    <w:rsid w:val="00621D8D"/>
    <w:rsid w:val="006220DA"/>
    <w:rsid w:val="00623D17"/>
    <w:rsid w:val="006267FA"/>
    <w:rsid w:val="00627154"/>
    <w:rsid w:val="006315E6"/>
    <w:rsid w:val="006322CE"/>
    <w:rsid w:val="006328E2"/>
    <w:rsid w:val="00634BE0"/>
    <w:rsid w:val="00637AFE"/>
    <w:rsid w:val="0064191D"/>
    <w:rsid w:val="00641CAA"/>
    <w:rsid w:val="00642A62"/>
    <w:rsid w:val="00644E34"/>
    <w:rsid w:val="00657AFE"/>
    <w:rsid w:val="0066096A"/>
    <w:rsid w:val="00664D05"/>
    <w:rsid w:val="00676A01"/>
    <w:rsid w:val="0067739D"/>
    <w:rsid w:val="00681269"/>
    <w:rsid w:val="0068397D"/>
    <w:rsid w:val="00696394"/>
    <w:rsid w:val="006A67EA"/>
    <w:rsid w:val="006B12CA"/>
    <w:rsid w:val="006B36B5"/>
    <w:rsid w:val="006B75EF"/>
    <w:rsid w:val="006C0771"/>
    <w:rsid w:val="006D19DC"/>
    <w:rsid w:val="006D23F3"/>
    <w:rsid w:val="006D5E0A"/>
    <w:rsid w:val="006D7A95"/>
    <w:rsid w:val="006E006F"/>
    <w:rsid w:val="006E40A3"/>
    <w:rsid w:val="006E5D32"/>
    <w:rsid w:val="006E6953"/>
    <w:rsid w:val="006E7B6F"/>
    <w:rsid w:val="006F1424"/>
    <w:rsid w:val="006F1863"/>
    <w:rsid w:val="006F5329"/>
    <w:rsid w:val="006F5712"/>
    <w:rsid w:val="00700002"/>
    <w:rsid w:val="0070216C"/>
    <w:rsid w:val="00706D00"/>
    <w:rsid w:val="00711B15"/>
    <w:rsid w:val="007154E8"/>
    <w:rsid w:val="00715AE6"/>
    <w:rsid w:val="00744BA4"/>
    <w:rsid w:val="007455C1"/>
    <w:rsid w:val="007514DE"/>
    <w:rsid w:val="00752518"/>
    <w:rsid w:val="00757A0D"/>
    <w:rsid w:val="007659BD"/>
    <w:rsid w:val="00773810"/>
    <w:rsid w:val="007759BC"/>
    <w:rsid w:val="00777361"/>
    <w:rsid w:val="00780796"/>
    <w:rsid w:val="0078089F"/>
    <w:rsid w:val="00786E02"/>
    <w:rsid w:val="007871E3"/>
    <w:rsid w:val="00787729"/>
    <w:rsid w:val="00790EED"/>
    <w:rsid w:val="007913A3"/>
    <w:rsid w:val="00792311"/>
    <w:rsid w:val="00793DF3"/>
    <w:rsid w:val="0079471E"/>
    <w:rsid w:val="00794C14"/>
    <w:rsid w:val="007A4867"/>
    <w:rsid w:val="007B3EC4"/>
    <w:rsid w:val="007B574C"/>
    <w:rsid w:val="007B7452"/>
    <w:rsid w:val="007C03C0"/>
    <w:rsid w:val="007C638D"/>
    <w:rsid w:val="007E2535"/>
    <w:rsid w:val="007E2BD9"/>
    <w:rsid w:val="007F2945"/>
    <w:rsid w:val="007F4857"/>
    <w:rsid w:val="007F4DDD"/>
    <w:rsid w:val="007F7958"/>
    <w:rsid w:val="00800D26"/>
    <w:rsid w:val="00802A93"/>
    <w:rsid w:val="00812E05"/>
    <w:rsid w:val="00823739"/>
    <w:rsid w:val="008242FB"/>
    <w:rsid w:val="00824D0F"/>
    <w:rsid w:val="008257CA"/>
    <w:rsid w:val="00832F47"/>
    <w:rsid w:val="008363B3"/>
    <w:rsid w:val="00837935"/>
    <w:rsid w:val="00837E86"/>
    <w:rsid w:val="0084126A"/>
    <w:rsid w:val="008448BF"/>
    <w:rsid w:val="00847D3D"/>
    <w:rsid w:val="00851835"/>
    <w:rsid w:val="00851D2C"/>
    <w:rsid w:val="00851D96"/>
    <w:rsid w:val="00853683"/>
    <w:rsid w:val="00853A09"/>
    <w:rsid w:val="00865F48"/>
    <w:rsid w:val="00866836"/>
    <w:rsid w:val="00867C1E"/>
    <w:rsid w:val="008741FA"/>
    <w:rsid w:val="008822DF"/>
    <w:rsid w:val="008824A6"/>
    <w:rsid w:val="00882B14"/>
    <w:rsid w:val="00883C35"/>
    <w:rsid w:val="00885235"/>
    <w:rsid w:val="00885863"/>
    <w:rsid w:val="00891B0C"/>
    <w:rsid w:val="00894794"/>
    <w:rsid w:val="008970DA"/>
    <w:rsid w:val="00897AAB"/>
    <w:rsid w:val="00897D06"/>
    <w:rsid w:val="008A26ED"/>
    <w:rsid w:val="008A2DC3"/>
    <w:rsid w:val="008A4E57"/>
    <w:rsid w:val="008A55B6"/>
    <w:rsid w:val="008B6A8C"/>
    <w:rsid w:val="008B738D"/>
    <w:rsid w:val="008C2770"/>
    <w:rsid w:val="008C2AEF"/>
    <w:rsid w:val="008C2F4F"/>
    <w:rsid w:val="008C3B7A"/>
    <w:rsid w:val="008C4961"/>
    <w:rsid w:val="008C5277"/>
    <w:rsid w:val="008D7819"/>
    <w:rsid w:val="008D7CB9"/>
    <w:rsid w:val="008E4034"/>
    <w:rsid w:val="008E577D"/>
    <w:rsid w:val="008E6EBE"/>
    <w:rsid w:val="008F7C95"/>
    <w:rsid w:val="00904AAD"/>
    <w:rsid w:val="00904D75"/>
    <w:rsid w:val="00906420"/>
    <w:rsid w:val="00910BC8"/>
    <w:rsid w:val="00913B16"/>
    <w:rsid w:val="0091503D"/>
    <w:rsid w:val="00915509"/>
    <w:rsid w:val="00916A7B"/>
    <w:rsid w:val="00917832"/>
    <w:rsid w:val="00926BDC"/>
    <w:rsid w:val="009301BE"/>
    <w:rsid w:val="00934F3F"/>
    <w:rsid w:val="00935B90"/>
    <w:rsid w:val="009377D4"/>
    <w:rsid w:val="00945462"/>
    <w:rsid w:val="00953ED3"/>
    <w:rsid w:val="00962BB5"/>
    <w:rsid w:val="0096541D"/>
    <w:rsid w:val="0097032C"/>
    <w:rsid w:val="009756CF"/>
    <w:rsid w:val="00981D58"/>
    <w:rsid w:val="00984E6F"/>
    <w:rsid w:val="009855CC"/>
    <w:rsid w:val="0098580E"/>
    <w:rsid w:val="00987815"/>
    <w:rsid w:val="009909F1"/>
    <w:rsid w:val="00991F81"/>
    <w:rsid w:val="0099384A"/>
    <w:rsid w:val="00994B57"/>
    <w:rsid w:val="00995C23"/>
    <w:rsid w:val="00996A3B"/>
    <w:rsid w:val="009A5704"/>
    <w:rsid w:val="009A746E"/>
    <w:rsid w:val="009B6727"/>
    <w:rsid w:val="009B72BD"/>
    <w:rsid w:val="009C0162"/>
    <w:rsid w:val="009C2681"/>
    <w:rsid w:val="009C3E54"/>
    <w:rsid w:val="009C58FF"/>
    <w:rsid w:val="009D2CE9"/>
    <w:rsid w:val="009D40CF"/>
    <w:rsid w:val="009D4107"/>
    <w:rsid w:val="009D679E"/>
    <w:rsid w:val="009D67D4"/>
    <w:rsid w:val="009D6D88"/>
    <w:rsid w:val="009E0260"/>
    <w:rsid w:val="009F193F"/>
    <w:rsid w:val="00A063EF"/>
    <w:rsid w:val="00A1198E"/>
    <w:rsid w:val="00A11C75"/>
    <w:rsid w:val="00A12822"/>
    <w:rsid w:val="00A12E69"/>
    <w:rsid w:val="00A17588"/>
    <w:rsid w:val="00A23755"/>
    <w:rsid w:val="00A33E0B"/>
    <w:rsid w:val="00A409A6"/>
    <w:rsid w:val="00A418DA"/>
    <w:rsid w:val="00A43AC1"/>
    <w:rsid w:val="00A44313"/>
    <w:rsid w:val="00A46111"/>
    <w:rsid w:val="00A515F1"/>
    <w:rsid w:val="00A61C40"/>
    <w:rsid w:val="00A620C9"/>
    <w:rsid w:val="00A62C87"/>
    <w:rsid w:val="00A636CC"/>
    <w:rsid w:val="00A65DC9"/>
    <w:rsid w:val="00A71C97"/>
    <w:rsid w:val="00A72243"/>
    <w:rsid w:val="00A73168"/>
    <w:rsid w:val="00A743BE"/>
    <w:rsid w:val="00A75412"/>
    <w:rsid w:val="00A84F10"/>
    <w:rsid w:val="00A8676E"/>
    <w:rsid w:val="00A918AD"/>
    <w:rsid w:val="00A957C7"/>
    <w:rsid w:val="00A97983"/>
    <w:rsid w:val="00AA1C23"/>
    <w:rsid w:val="00AA3A3F"/>
    <w:rsid w:val="00AA6499"/>
    <w:rsid w:val="00AB3075"/>
    <w:rsid w:val="00AB34F1"/>
    <w:rsid w:val="00AB60D8"/>
    <w:rsid w:val="00AB6259"/>
    <w:rsid w:val="00AC6ECB"/>
    <w:rsid w:val="00AC7451"/>
    <w:rsid w:val="00AD13AD"/>
    <w:rsid w:val="00AD1593"/>
    <w:rsid w:val="00AD7642"/>
    <w:rsid w:val="00AE45A1"/>
    <w:rsid w:val="00AE62C6"/>
    <w:rsid w:val="00AE6927"/>
    <w:rsid w:val="00AF7338"/>
    <w:rsid w:val="00B0431A"/>
    <w:rsid w:val="00B043C3"/>
    <w:rsid w:val="00B054B2"/>
    <w:rsid w:val="00B05BD2"/>
    <w:rsid w:val="00B11198"/>
    <w:rsid w:val="00B11B6F"/>
    <w:rsid w:val="00B11BD6"/>
    <w:rsid w:val="00B132CB"/>
    <w:rsid w:val="00B151A1"/>
    <w:rsid w:val="00B17B24"/>
    <w:rsid w:val="00B20F48"/>
    <w:rsid w:val="00B223E5"/>
    <w:rsid w:val="00B22919"/>
    <w:rsid w:val="00B234C7"/>
    <w:rsid w:val="00B30FDA"/>
    <w:rsid w:val="00B315AF"/>
    <w:rsid w:val="00B31F14"/>
    <w:rsid w:val="00B3789B"/>
    <w:rsid w:val="00B37B2C"/>
    <w:rsid w:val="00B403BA"/>
    <w:rsid w:val="00B42564"/>
    <w:rsid w:val="00B448EB"/>
    <w:rsid w:val="00B50818"/>
    <w:rsid w:val="00B53541"/>
    <w:rsid w:val="00B57150"/>
    <w:rsid w:val="00B60753"/>
    <w:rsid w:val="00B60DFE"/>
    <w:rsid w:val="00B613FE"/>
    <w:rsid w:val="00B66A67"/>
    <w:rsid w:val="00B66B93"/>
    <w:rsid w:val="00B676F6"/>
    <w:rsid w:val="00B70FC0"/>
    <w:rsid w:val="00B7558B"/>
    <w:rsid w:val="00B76F56"/>
    <w:rsid w:val="00B918F4"/>
    <w:rsid w:val="00B92493"/>
    <w:rsid w:val="00B92C4A"/>
    <w:rsid w:val="00B94281"/>
    <w:rsid w:val="00B96211"/>
    <w:rsid w:val="00B97C86"/>
    <w:rsid w:val="00BA5FEF"/>
    <w:rsid w:val="00BA6F2F"/>
    <w:rsid w:val="00BB2858"/>
    <w:rsid w:val="00BB3024"/>
    <w:rsid w:val="00BB42B5"/>
    <w:rsid w:val="00BB6BE1"/>
    <w:rsid w:val="00BC3F70"/>
    <w:rsid w:val="00BD2138"/>
    <w:rsid w:val="00BD252C"/>
    <w:rsid w:val="00BD509A"/>
    <w:rsid w:val="00BE36B0"/>
    <w:rsid w:val="00BE3A78"/>
    <w:rsid w:val="00BE69AF"/>
    <w:rsid w:val="00BF0A9B"/>
    <w:rsid w:val="00BF5D1B"/>
    <w:rsid w:val="00BF732D"/>
    <w:rsid w:val="00C0079F"/>
    <w:rsid w:val="00C05006"/>
    <w:rsid w:val="00C05A70"/>
    <w:rsid w:val="00C102BC"/>
    <w:rsid w:val="00C133CC"/>
    <w:rsid w:val="00C14089"/>
    <w:rsid w:val="00C16194"/>
    <w:rsid w:val="00C17325"/>
    <w:rsid w:val="00C24D90"/>
    <w:rsid w:val="00C32FB6"/>
    <w:rsid w:val="00C36511"/>
    <w:rsid w:val="00C41151"/>
    <w:rsid w:val="00C451C8"/>
    <w:rsid w:val="00C45C58"/>
    <w:rsid w:val="00C53693"/>
    <w:rsid w:val="00C539A3"/>
    <w:rsid w:val="00C5667B"/>
    <w:rsid w:val="00C64223"/>
    <w:rsid w:val="00C64769"/>
    <w:rsid w:val="00C705B9"/>
    <w:rsid w:val="00C72772"/>
    <w:rsid w:val="00C74D76"/>
    <w:rsid w:val="00C825B1"/>
    <w:rsid w:val="00C83C4E"/>
    <w:rsid w:val="00C84832"/>
    <w:rsid w:val="00C85320"/>
    <w:rsid w:val="00C86488"/>
    <w:rsid w:val="00C87678"/>
    <w:rsid w:val="00C87B74"/>
    <w:rsid w:val="00CA0276"/>
    <w:rsid w:val="00CA360A"/>
    <w:rsid w:val="00CA39FF"/>
    <w:rsid w:val="00CA4439"/>
    <w:rsid w:val="00CA5C8A"/>
    <w:rsid w:val="00CA6212"/>
    <w:rsid w:val="00CA6C59"/>
    <w:rsid w:val="00CA6F0A"/>
    <w:rsid w:val="00CB3725"/>
    <w:rsid w:val="00CB3DF8"/>
    <w:rsid w:val="00CB4F65"/>
    <w:rsid w:val="00CB647E"/>
    <w:rsid w:val="00CC2622"/>
    <w:rsid w:val="00CC6FBD"/>
    <w:rsid w:val="00CC7EAF"/>
    <w:rsid w:val="00CD1F41"/>
    <w:rsid w:val="00CD4AD5"/>
    <w:rsid w:val="00CD62D6"/>
    <w:rsid w:val="00CE1E7C"/>
    <w:rsid w:val="00CE2876"/>
    <w:rsid w:val="00CE3167"/>
    <w:rsid w:val="00CF2049"/>
    <w:rsid w:val="00CF25D1"/>
    <w:rsid w:val="00CF50A0"/>
    <w:rsid w:val="00CF6A68"/>
    <w:rsid w:val="00D01980"/>
    <w:rsid w:val="00D10E2E"/>
    <w:rsid w:val="00D10F3B"/>
    <w:rsid w:val="00D143A3"/>
    <w:rsid w:val="00D1676F"/>
    <w:rsid w:val="00D168FF"/>
    <w:rsid w:val="00D178DC"/>
    <w:rsid w:val="00D17B89"/>
    <w:rsid w:val="00D20007"/>
    <w:rsid w:val="00D22243"/>
    <w:rsid w:val="00D250AA"/>
    <w:rsid w:val="00D262A7"/>
    <w:rsid w:val="00D2793E"/>
    <w:rsid w:val="00D319A2"/>
    <w:rsid w:val="00D35A16"/>
    <w:rsid w:val="00D361AB"/>
    <w:rsid w:val="00D36803"/>
    <w:rsid w:val="00D40E65"/>
    <w:rsid w:val="00D4658A"/>
    <w:rsid w:val="00D47A7D"/>
    <w:rsid w:val="00D47FA0"/>
    <w:rsid w:val="00D501E8"/>
    <w:rsid w:val="00D5044C"/>
    <w:rsid w:val="00D508AD"/>
    <w:rsid w:val="00D52BC7"/>
    <w:rsid w:val="00D5393F"/>
    <w:rsid w:val="00D5585D"/>
    <w:rsid w:val="00D55D66"/>
    <w:rsid w:val="00D5765A"/>
    <w:rsid w:val="00D6107B"/>
    <w:rsid w:val="00D64111"/>
    <w:rsid w:val="00D64E8A"/>
    <w:rsid w:val="00D661C1"/>
    <w:rsid w:val="00D679CB"/>
    <w:rsid w:val="00D70041"/>
    <w:rsid w:val="00D72B8D"/>
    <w:rsid w:val="00D76273"/>
    <w:rsid w:val="00D816D3"/>
    <w:rsid w:val="00D87A9A"/>
    <w:rsid w:val="00D907FD"/>
    <w:rsid w:val="00D91AB1"/>
    <w:rsid w:val="00D939E7"/>
    <w:rsid w:val="00D974E5"/>
    <w:rsid w:val="00DA52FC"/>
    <w:rsid w:val="00DB0F2C"/>
    <w:rsid w:val="00DB3635"/>
    <w:rsid w:val="00DE0936"/>
    <w:rsid w:val="00DE3AEF"/>
    <w:rsid w:val="00DE4706"/>
    <w:rsid w:val="00DF06AE"/>
    <w:rsid w:val="00DF21D8"/>
    <w:rsid w:val="00E00455"/>
    <w:rsid w:val="00E00CAE"/>
    <w:rsid w:val="00E02AC7"/>
    <w:rsid w:val="00E06363"/>
    <w:rsid w:val="00E074ED"/>
    <w:rsid w:val="00E10403"/>
    <w:rsid w:val="00E12180"/>
    <w:rsid w:val="00E15ECB"/>
    <w:rsid w:val="00E20269"/>
    <w:rsid w:val="00E238F5"/>
    <w:rsid w:val="00E25FF9"/>
    <w:rsid w:val="00E30584"/>
    <w:rsid w:val="00E308AF"/>
    <w:rsid w:val="00E308C1"/>
    <w:rsid w:val="00E336B0"/>
    <w:rsid w:val="00E33700"/>
    <w:rsid w:val="00E33A5A"/>
    <w:rsid w:val="00E352E1"/>
    <w:rsid w:val="00E37CF3"/>
    <w:rsid w:val="00E42924"/>
    <w:rsid w:val="00E52BD1"/>
    <w:rsid w:val="00E65651"/>
    <w:rsid w:val="00E674AF"/>
    <w:rsid w:val="00E74A4D"/>
    <w:rsid w:val="00E7720B"/>
    <w:rsid w:val="00E87050"/>
    <w:rsid w:val="00E90E16"/>
    <w:rsid w:val="00E9380D"/>
    <w:rsid w:val="00E9578A"/>
    <w:rsid w:val="00E96C2D"/>
    <w:rsid w:val="00EA2B80"/>
    <w:rsid w:val="00EA4E19"/>
    <w:rsid w:val="00EA5170"/>
    <w:rsid w:val="00EB0CD9"/>
    <w:rsid w:val="00EB11F4"/>
    <w:rsid w:val="00EB1AE1"/>
    <w:rsid w:val="00EB2E92"/>
    <w:rsid w:val="00EB4CC8"/>
    <w:rsid w:val="00EC0CBD"/>
    <w:rsid w:val="00EC382A"/>
    <w:rsid w:val="00EC4E4E"/>
    <w:rsid w:val="00ED14CB"/>
    <w:rsid w:val="00ED6191"/>
    <w:rsid w:val="00ED7F79"/>
    <w:rsid w:val="00EE04F1"/>
    <w:rsid w:val="00EE28CB"/>
    <w:rsid w:val="00EE2C35"/>
    <w:rsid w:val="00EE5E52"/>
    <w:rsid w:val="00EF0340"/>
    <w:rsid w:val="00EF0D9F"/>
    <w:rsid w:val="00EF29A7"/>
    <w:rsid w:val="00EF6F31"/>
    <w:rsid w:val="00F02559"/>
    <w:rsid w:val="00F0319B"/>
    <w:rsid w:val="00F04630"/>
    <w:rsid w:val="00F05199"/>
    <w:rsid w:val="00F05328"/>
    <w:rsid w:val="00F05FDF"/>
    <w:rsid w:val="00F119E8"/>
    <w:rsid w:val="00F13C34"/>
    <w:rsid w:val="00F2156E"/>
    <w:rsid w:val="00F217BD"/>
    <w:rsid w:val="00F2307B"/>
    <w:rsid w:val="00F2310E"/>
    <w:rsid w:val="00F25063"/>
    <w:rsid w:val="00F279D9"/>
    <w:rsid w:val="00F407C0"/>
    <w:rsid w:val="00F41B21"/>
    <w:rsid w:val="00F44169"/>
    <w:rsid w:val="00F444C0"/>
    <w:rsid w:val="00F44C22"/>
    <w:rsid w:val="00F47FC0"/>
    <w:rsid w:val="00F52C01"/>
    <w:rsid w:val="00F52DB0"/>
    <w:rsid w:val="00F54E1A"/>
    <w:rsid w:val="00F572AE"/>
    <w:rsid w:val="00F608C5"/>
    <w:rsid w:val="00F60E2A"/>
    <w:rsid w:val="00F644DC"/>
    <w:rsid w:val="00F6648F"/>
    <w:rsid w:val="00F67F82"/>
    <w:rsid w:val="00F73E4E"/>
    <w:rsid w:val="00F74886"/>
    <w:rsid w:val="00F76031"/>
    <w:rsid w:val="00F777A6"/>
    <w:rsid w:val="00F7784E"/>
    <w:rsid w:val="00F84B1F"/>
    <w:rsid w:val="00F85294"/>
    <w:rsid w:val="00F852E7"/>
    <w:rsid w:val="00F86DA1"/>
    <w:rsid w:val="00F917DF"/>
    <w:rsid w:val="00F96340"/>
    <w:rsid w:val="00FA4845"/>
    <w:rsid w:val="00FB0DD6"/>
    <w:rsid w:val="00FB17D4"/>
    <w:rsid w:val="00FB2B46"/>
    <w:rsid w:val="00FB3CAB"/>
    <w:rsid w:val="00FB4ED8"/>
    <w:rsid w:val="00FB6DD2"/>
    <w:rsid w:val="00FB733B"/>
    <w:rsid w:val="00FB7770"/>
    <w:rsid w:val="00FC06F1"/>
    <w:rsid w:val="00FC1039"/>
    <w:rsid w:val="00FC14E2"/>
    <w:rsid w:val="00FD2BAD"/>
    <w:rsid w:val="00FD6C89"/>
    <w:rsid w:val="00FD7394"/>
    <w:rsid w:val="00FE1D9F"/>
    <w:rsid w:val="00FF2C9E"/>
    <w:rsid w:val="00FF2D58"/>
    <w:rsid w:val="00FF43E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D934E"/>
  <w15:docId w15:val="{D617C58E-6851-419F-B89A-D9C39378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7B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Paragraph"/>
    <w:link w:val="Heading2Char"/>
    <w:qFormat/>
    <w:rsid w:val="00CF25D1"/>
    <w:pPr>
      <w:keepNext/>
      <w:spacing w:before="360" w:after="60" w:line="360" w:lineRule="auto"/>
      <w:ind w:right="567"/>
      <w:contextualSpacing/>
      <w:outlineLvl w:val="1"/>
    </w:pPr>
    <w:rPr>
      <w:rFonts w:ascii="Times New Roman" w:eastAsia="Times New Roman" w:hAnsi="Times New Roman" w:cs="Arial"/>
      <w:b/>
      <w:bCs/>
      <w:i/>
      <w:iCs/>
      <w:sz w:val="24"/>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ED1"/>
  </w:style>
  <w:style w:type="paragraph" w:styleId="Footer">
    <w:name w:val="footer"/>
    <w:basedOn w:val="Normal"/>
    <w:link w:val="FooterChar"/>
    <w:uiPriority w:val="99"/>
    <w:unhideWhenUsed/>
    <w:rsid w:val="00102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ED1"/>
  </w:style>
  <w:style w:type="paragraph" w:styleId="ListParagraph">
    <w:name w:val="List Paragraph"/>
    <w:basedOn w:val="Normal"/>
    <w:uiPriority w:val="34"/>
    <w:qFormat/>
    <w:rsid w:val="00E65651"/>
    <w:pPr>
      <w:widowControl w:val="0"/>
      <w:spacing w:after="0" w:line="240" w:lineRule="auto"/>
      <w:ind w:left="720"/>
      <w:jc w:val="both"/>
    </w:pPr>
    <w:rPr>
      <w:rFonts w:ascii="Times New Roman" w:eastAsia="SimSun" w:hAnsi="Times New Roman" w:cs="Times New Roman"/>
      <w:kern w:val="2"/>
      <w:sz w:val="21"/>
      <w:szCs w:val="24"/>
      <w:lang w:val="en-US"/>
    </w:rPr>
  </w:style>
  <w:style w:type="character" w:styleId="Hyperlink">
    <w:name w:val="Hyperlink"/>
    <w:basedOn w:val="DefaultParagraphFont"/>
    <w:uiPriority w:val="99"/>
    <w:unhideWhenUsed/>
    <w:rsid w:val="00E65651"/>
    <w:rPr>
      <w:color w:val="0000FF"/>
      <w:u w:val="single"/>
    </w:rPr>
  </w:style>
  <w:style w:type="paragraph" w:customStyle="1" w:styleId="Articletitle">
    <w:name w:val="Article title"/>
    <w:basedOn w:val="Normal"/>
    <w:next w:val="Normal"/>
    <w:qFormat/>
    <w:rsid w:val="00CF25D1"/>
    <w:pPr>
      <w:spacing w:after="120" w:line="360" w:lineRule="auto"/>
    </w:pPr>
    <w:rPr>
      <w:rFonts w:ascii="Times New Roman" w:eastAsia="Times New Roman" w:hAnsi="Times New Roman" w:cs="Times New Roman"/>
      <w:b/>
      <w:sz w:val="28"/>
      <w:szCs w:val="24"/>
      <w:lang w:eastAsia="en-GB"/>
    </w:rPr>
  </w:style>
  <w:style w:type="paragraph" w:customStyle="1" w:styleId="Paragraph">
    <w:name w:val="Paragraph"/>
    <w:basedOn w:val="Normal"/>
    <w:next w:val="Newparagraph"/>
    <w:qFormat/>
    <w:rsid w:val="00CF25D1"/>
    <w:pPr>
      <w:widowControl w:val="0"/>
      <w:spacing w:before="240" w:after="0" w:line="480" w:lineRule="auto"/>
    </w:pPr>
    <w:rPr>
      <w:rFonts w:ascii="Times New Roman" w:eastAsia="Times New Roman" w:hAnsi="Times New Roman" w:cs="Times New Roman"/>
      <w:sz w:val="24"/>
      <w:szCs w:val="24"/>
      <w:lang w:eastAsia="en-GB"/>
    </w:rPr>
  </w:style>
  <w:style w:type="paragraph" w:customStyle="1" w:styleId="Newparagraph">
    <w:name w:val="New paragraph"/>
    <w:basedOn w:val="Normal"/>
    <w:qFormat/>
    <w:rsid w:val="00CF25D1"/>
    <w:pPr>
      <w:spacing w:after="0" w:line="480" w:lineRule="auto"/>
      <w:ind w:firstLine="720"/>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CF25D1"/>
    <w:rPr>
      <w:rFonts w:ascii="Times New Roman" w:eastAsia="Times New Roman" w:hAnsi="Times New Roman" w:cs="Arial"/>
      <w:b/>
      <w:bCs/>
      <w:i/>
      <w:iCs/>
      <w:sz w:val="24"/>
      <w:szCs w:val="28"/>
      <w:lang w:eastAsia="en-GB"/>
    </w:rPr>
  </w:style>
  <w:style w:type="character" w:customStyle="1" w:styleId="gt-baf-word-clickable">
    <w:name w:val="gt-baf-word-clickable"/>
    <w:basedOn w:val="DefaultParagraphFont"/>
    <w:rsid w:val="00477B49"/>
  </w:style>
  <w:style w:type="paragraph" w:customStyle="1" w:styleId="Authornames">
    <w:name w:val="Author names"/>
    <w:basedOn w:val="Normal"/>
    <w:next w:val="Normal"/>
    <w:qFormat/>
    <w:rsid w:val="00B17B24"/>
    <w:pPr>
      <w:spacing w:before="240" w:after="0" w:line="360" w:lineRule="auto"/>
    </w:pPr>
    <w:rPr>
      <w:rFonts w:ascii="Times New Roman" w:eastAsia="Times New Roman" w:hAnsi="Times New Roman" w:cs="Times New Roman"/>
      <w:sz w:val="28"/>
      <w:szCs w:val="24"/>
      <w:lang w:eastAsia="en-GB"/>
    </w:rPr>
  </w:style>
  <w:style w:type="paragraph" w:customStyle="1" w:styleId="Affiliation">
    <w:name w:val="Affiliation"/>
    <w:basedOn w:val="Normal"/>
    <w:qFormat/>
    <w:rsid w:val="00B17B24"/>
    <w:pPr>
      <w:spacing w:before="240" w:after="0" w:line="360" w:lineRule="auto"/>
    </w:pPr>
    <w:rPr>
      <w:rFonts w:ascii="Times New Roman" w:eastAsia="Times New Roman" w:hAnsi="Times New Roman" w:cs="Times New Roman"/>
      <w:i/>
      <w:sz w:val="24"/>
      <w:szCs w:val="24"/>
      <w:lang w:eastAsia="en-GB"/>
    </w:rPr>
  </w:style>
  <w:style w:type="paragraph" w:customStyle="1" w:styleId="Correspondencedetails">
    <w:name w:val="Correspondence details"/>
    <w:basedOn w:val="Normal"/>
    <w:qFormat/>
    <w:rsid w:val="00B17B24"/>
    <w:pPr>
      <w:spacing w:before="240" w:after="0" w:line="360" w:lineRule="auto"/>
    </w:pPr>
    <w:rPr>
      <w:rFonts w:ascii="Times New Roman" w:eastAsia="Times New Roman" w:hAnsi="Times New Roman" w:cs="Times New Roman"/>
      <w:sz w:val="24"/>
      <w:szCs w:val="24"/>
      <w:lang w:eastAsia="en-GB"/>
    </w:rPr>
  </w:style>
  <w:style w:type="paragraph" w:customStyle="1" w:styleId="Notesoncontributors">
    <w:name w:val="Notes on contributors"/>
    <w:basedOn w:val="Normal"/>
    <w:qFormat/>
    <w:rsid w:val="00B17B24"/>
    <w:pPr>
      <w:spacing w:before="240" w:after="0" w:line="360" w:lineRule="auto"/>
    </w:pPr>
    <w:rPr>
      <w:rFonts w:ascii="Times New Roman" w:eastAsia="Times New Roman" w:hAnsi="Times New Roman" w:cs="Times New Roman"/>
      <w:szCs w:val="24"/>
      <w:lang w:eastAsia="en-GB"/>
    </w:rPr>
  </w:style>
  <w:style w:type="paragraph" w:customStyle="1" w:styleId="Abstract">
    <w:name w:val="Abstract"/>
    <w:basedOn w:val="Normal"/>
    <w:next w:val="Keywords"/>
    <w:qFormat/>
    <w:rsid w:val="00B17B24"/>
    <w:pPr>
      <w:spacing w:before="360" w:after="300" w:line="360" w:lineRule="auto"/>
      <w:ind w:left="720" w:right="567"/>
      <w:contextualSpacing/>
    </w:pPr>
    <w:rPr>
      <w:rFonts w:ascii="Times New Roman" w:eastAsia="Times New Roman" w:hAnsi="Times New Roman" w:cs="Times New Roman"/>
      <w:szCs w:val="24"/>
      <w:lang w:eastAsia="en-GB"/>
    </w:rPr>
  </w:style>
  <w:style w:type="paragraph" w:customStyle="1" w:styleId="Keywords">
    <w:name w:val="Keywords"/>
    <w:basedOn w:val="Normal"/>
    <w:next w:val="Paragraph"/>
    <w:qFormat/>
    <w:rsid w:val="00B17B24"/>
    <w:pPr>
      <w:spacing w:before="240" w:after="240" w:line="360" w:lineRule="auto"/>
      <w:ind w:left="720" w:right="567"/>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B17B24"/>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unhideWhenUsed/>
    <w:rsid w:val="00396913"/>
    <w:pPr>
      <w:spacing w:after="0" w:line="240" w:lineRule="auto"/>
    </w:pPr>
    <w:rPr>
      <w:sz w:val="20"/>
      <w:szCs w:val="20"/>
    </w:rPr>
  </w:style>
  <w:style w:type="character" w:customStyle="1" w:styleId="EndnoteTextChar">
    <w:name w:val="Endnote Text Char"/>
    <w:basedOn w:val="DefaultParagraphFont"/>
    <w:link w:val="EndnoteText"/>
    <w:uiPriority w:val="99"/>
    <w:rsid w:val="00396913"/>
    <w:rPr>
      <w:sz w:val="20"/>
      <w:szCs w:val="20"/>
    </w:rPr>
  </w:style>
  <w:style w:type="character" w:styleId="EndnoteReference">
    <w:name w:val="endnote reference"/>
    <w:basedOn w:val="DefaultParagraphFont"/>
    <w:uiPriority w:val="99"/>
    <w:semiHidden/>
    <w:unhideWhenUsed/>
    <w:rsid w:val="003969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9DADE-6A06-4FA5-905E-B4822DFBB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4579</Words>
  <Characters>26103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30621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 Gao</dc:creator>
  <cp:lastModifiedBy>NicholasTemple</cp:lastModifiedBy>
  <cp:revision>2</cp:revision>
  <cp:lastPrinted>2017-03-15T09:23:00Z</cp:lastPrinted>
  <dcterms:created xsi:type="dcterms:W3CDTF">2020-07-21T09:28:00Z</dcterms:created>
  <dcterms:modified xsi:type="dcterms:W3CDTF">2020-07-21T09:28:00Z</dcterms:modified>
</cp:coreProperties>
</file>