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E6FD9" w14:textId="706E85A3" w:rsidR="00287734" w:rsidRPr="00BF0264" w:rsidRDefault="00F93442" w:rsidP="00287734">
      <w:pPr>
        <w:pStyle w:val="NoSpacing"/>
        <w:jc w:val="center"/>
        <w:rPr>
          <w:b/>
        </w:rPr>
      </w:pPr>
      <w:r w:rsidRPr="00BF0264">
        <w:rPr>
          <w:b/>
        </w:rPr>
        <w:t xml:space="preserve">Counting </w:t>
      </w:r>
      <w:r w:rsidR="00BE725E" w:rsidRPr="00BF0264">
        <w:rPr>
          <w:b/>
        </w:rPr>
        <w:t>with</w:t>
      </w:r>
      <w:r w:rsidR="0071254C" w:rsidRPr="00BF0264">
        <w:rPr>
          <w:b/>
        </w:rPr>
        <w:t xml:space="preserve"> understanding</w:t>
      </w:r>
      <w:r w:rsidR="000A794C" w:rsidRPr="00BF0264">
        <w:rPr>
          <w:b/>
        </w:rPr>
        <w:t>? W</w:t>
      </w:r>
      <w:r w:rsidR="00287734" w:rsidRPr="00BF0264">
        <w:rPr>
          <w:b/>
        </w:rPr>
        <w:t xml:space="preserve">hat is at stake in debates on researching domestic </w:t>
      </w:r>
      <w:proofErr w:type="gramStart"/>
      <w:r w:rsidR="00287734" w:rsidRPr="00BF0264">
        <w:rPr>
          <w:b/>
        </w:rPr>
        <w:t>violence</w:t>
      </w:r>
      <w:proofErr w:type="gramEnd"/>
    </w:p>
    <w:p w14:paraId="5B159127" w14:textId="77777777" w:rsidR="00287734" w:rsidRPr="00BF0264" w:rsidRDefault="00287734" w:rsidP="00287734">
      <w:pPr>
        <w:pStyle w:val="NoSpacing"/>
        <w:rPr>
          <w:b/>
        </w:rPr>
      </w:pPr>
    </w:p>
    <w:p w14:paraId="656E5D48" w14:textId="50711A4A" w:rsidR="00287734" w:rsidRPr="00BF0264" w:rsidRDefault="00562068" w:rsidP="00287734">
      <w:pPr>
        <w:pStyle w:val="NoSpacing"/>
      </w:pPr>
      <w:r w:rsidRPr="00BF0264">
        <w:rPr>
          <w:b/>
        </w:rPr>
        <w:t>Abstract</w:t>
      </w:r>
    </w:p>
    <w:p w14:paraId="55FD845F" w14:textId="5234D041" w:rsidR="00287734" w:rsidRPr="00BF0264" w:rsidRDefault="006802D0" w:rsidP="00287734">
      <w:pPr>
        <w:pStyle w:val="NoSpacing"/>
      </w:pPr>
      <w:r w:rsidRPr="00BF0264">
        <w:t>This paper addresses recent debates relating to the measurement of domestic vi</w:t>
      </w:r>
      <w:r w:rsidR="00891CDE" w:rsidRPr="00BF0264">
        <w:t>olence, and in particular the ‘d</w:t>
      </w:r>
      <w:r w:rsidRPr="00BF0264">
        <w:t xml:space="preserve">omestic violent crime’ framework proposed by Sylvia Walby and colleagues. We </w:t>
      </w:r>
      <w:r w:rsidR="00562068" w:rsidRPr="00BF0264">
        <w:t xml:space="preserve">argue for the utility of coercive control as a framework for measurement of domestic violence, and highlight what we see as misrepresentation of this concept in the work of Walby and colleagues. We also </w:t>
      </w:r>
      <w:r w:rsidR="006464F9" w:rsidRPr="00BF0264">
        <w:t>point to</w:t>
      </w:r>
      <w:r w:rsidR="00562068" w:rsidRPr="00BF0264">
        <w:t xml:space="preserve"> the limitations of traditional crime codes in capturing the range of abuse suffered by victims of coercive control, and question whether measuring physical assault is any more straightforward in sample surveys than measuring non-violent forms of coercion. We conclude by calling for greater attention to qual</w:t>
      </w:r>
      <w:r w:rsidR="006464F9" w:rsidRPr="00BF0264">
        <w:t>itative narratives and practice-based knowledge</w:t>
      </w:r>
      <w:r w:rsidR="00562068" w:rsidRPr="00BF0264">
        <w:t xml:space="preserve"> to ensure that measurement frameworks reflect the lived experiences of victim-survivors.</w:t>
      </w:r>
    </w:p>
    <w:p w14:paraId="3F7F2BA4" w14:textId="77777777" w:rsidR="006802D0" w:rsidRPr="00BF0264" w:rsidRDefault="006802D0" w:rsidP="00287734">
      <w:pPr>
        <w:pStyle w:val="NoSpacing"/>
        <w:rPr>
          <w:b/>
        </w:rPr>
      </w:pPr>
    </w:p>
    <w:p w14:paraId="79CC1BF5" w14:textId="77777777" w:rsidR="00287734" w:rsidRPr="00BF0264" w:rsidRDefault="00287734" w:rsidP="00287734">
      <w:pPr>
        <w:pStyle w:val="NoSpacing"/>
        <w:rPr>
          <w:b/>
        </w:rPr>
      </w:pPr>
      <w:r w:rsidRPr="00BF0264">
        <w:rPr>
          <w:b/>
        </w:rPr>
        <w:t>Key Words: Domestic violence, coercive control, survey measurement</w:t>
      </w:r>
    </w:p>
    <w:p w14:paraId="265971FA" w14:textId="77777777" w:rsidR="00287734" w:rsidRPr="00BF0264" w:rsidRDefault="00287734" w:rsidP="00287734">
      <w:pPr>
        <w:pStyle w:val="NoSpacing"/>
        <w:rPr>
          <w:b/>
        </w:rPr>
      </w:pPr>
    </w:p>
    <w:p w14:paraId="507653EB" w14:textId="48F7CB20" w:rsidR="00287734" w:rsidRPr="00BF0264" w:rsidRDefault="00DB004D" w:rsidP="00287734">
      <w:pPr>
        <w:pStyle w:val="NoSpacing"/>
        <w:rPr>
          <w:b/>
        </w:rPr>
      </w:pPr>
      <w:r w:rsidRPr="00BF0264">
        <w:rPr>
          <w:b/>
        </w:rPr>
        <w:t xml:space="preserve">Word count: </w:t>
      </w:r>
      <w:r w:rsidR="00BF0264">
        <w:rPr>
          <w:b/>
        </w:rPr>
        <w:t>8189</w:t>
      </w:r>
    </w:p>
    <w:p w14:paraId="667E3EE0" w14:textId="77777777" w:rsidR="00287734" w:rsidRPr="00BF0264" w:rsidRDefault="00287734" w:rsidP="00287734">
      <w:pPr>
        <w:pStyle w:val="NoSpacing"/>
      </w:pPr>
    </w:p>
    <w:p w14:paraId="14707F3F" w14:textId="190CF002" w:rsidR="005E03A1" w:rsidRPr="00BF0264" w:rsidRDefault="005E03A1" w:rsidP="00287734">
      <w:pPr>
        <w:pStyle w:val="NoSpacing"/>
        <w:rPr>
          <w:b/>
        </w:rPr>
      </w:pPr>
      <w:r w:rsidRPr="00BF0264">
        <w:rPr>
          <w:b/>
        </w:rPr>
        <w:t>Lead/corresponding author</w:t>
      </w:r>
    </w:p>
    <w:p w14:paraId="3ACE57D9" w14:textId="77777777" w:rsidR="005E03A1" w:rsidRPr="00BF0264" w:rsidRDefault="005E03A1" w:rsidP="00287734">
      <w:pPr>
        <w:pStyle w:val="NoSpacing"/>
        <w:rPr>
          <w:b/>
        </w:rPr>
      </w:pPr>
    </w:p>
    <w:p w14:paraId="143F15C8" w14:textId="3A701B9A" w:rsidR="00287734" w:rsidRPr="00BF0264" w:rsidRDefault="000A794C" w:rsidP="00287734">
      <w:pPr>
        <w:pStyle w:val="NoSpacing"/>
      </w:pPr>
      <w:r w:rsidRPr="00BF0264">
        <w:t>Dr Andy Myhill</w:t>
      </w:r>
    </w:p>
    <w:p w14:paraId="20603DD7" w14:textId="25CC11CE" w:rsidR="005E03A1" w:rsidRPr="00BF0264" w:rsidRDefault="005E03A1" w:rsidP="00287734">
      <w:pPr>
        <w:pStyle w:val="NoSpacing"/>
      </w:pPr>
      <w:r w:rsidRPr="00BF0264">
        <w:t>College of Policing</w:t>
      </w:r>
    </w:p>
    <w:p w14:paraId="0DBB5548" w14:textId="7EBE5247" w:rsidR="005E03A1" w:rsidRPr="00BF0264" w:rsidRDefault="005E03A1" w:rsidP="00287734">
      <w:pPr>
        <w:pStyle w:val="NoSpacing"/>
      </w:pPr>
      <w:r w:rsidRPr="00BF0264">
        <w:t>1-7 Old Queen Street</w:t>
      </w:r>
    </w:p>
    <w:p w14:paraId="2E7FCC52" w14:textId="77777777" w:rsidR="005E03A1" w:rsidRPr="00BF0264" w:rsidRDefault="005E03A1" w:rsidP="00287734">
      <w:pPr>
        <w:pStyle w:val="NoSpacing"/>
      </w:pPr>
      <w:r w:rsidRPr="00BF0264">
        <w:t xml:space="preserve">Westminster </w:t>
      </w:r>
    </w:p>
    <w:p w14:paraId="27313507" w14:textId="77CE30CA" w:rsidR="005E03A1" w:rsidRPr="00BF0264" w:rsidRDefault="005E03A1" w:rsidP="00287734">
      <w:pPr>
        <w:pStyle w:val="NoSpacing"/>
      </w:pPr>
      <w:r w:rsidRPr="00BF0264">
        <w:t>London SW1H 9HP</w:t>
      </w:r>
    </w:p>
    <w:p w14:paraId="53335D8A" w14:textId="7B2E7818" w:rsidR="00287734" w:rsidRPr="00BF0264" w:rsidRDefault="0068488D" w:rsidP="00287734">
      <w:pPr>
        <w:pStyle w:val="NoSpacing"/>
      </w:pPr>
      <w:hyperlink r:id="rId7" w:history="1">
        <w:r w:rsidR="005E03A1" w:rsidRPr="00BF0264">
          <w:rPr>
            <w:rStyle w:val="Hyperlink"/>
            <w:color w:val="auto"/>
          </w:rPr>
          <w:t>andy.myhill@college.pnn.police.uk</w:t>
        </w:r>
      </w:hyperlink>
      <w:r w:rsidR="005E03A1" w:rsidRPr="00BF0264">
        <w:t xml:space="preserve"> </w:t>
      </w:r>
    </w:p>
    <w:p w14:paraId="15A8CCA1" w14:textId="77777777" w:rsidR="00287734" w:rsidRPr="00BF0264" w:rsidRDefault="00287734" w:rsidP="00287734">
      <w:pPr>
        <w:pStyle w:val="NoSpacing"/>
      </w:pPr>
    </w:p>
    <w:p w14:paraId="07BEE9AC" w14:textId="676CC6FE" w:rsidR="00287734" w:rsidRPr="00BF0264" w:rsidRDefault="005E03A1" w:rsidP="00287734">
      <w:pPr>
        <w:pStyle w:val="NoSpacing"/>
      </w:pPr>
      <w:r w:rsidRPr="00BF0264">
        <w:rPr>
          <w:b/>
        </w:rPr>
        <w:t>Andy Myhill</w:t>
      </w:r>
      <w:r w:rsidRPr="00BF0264">
        <w:t xml:space="preserve"> is an Evidence and Evaluation Advisor at the UK College of Policing. He has published both academic papers and government reports on topics including domestic violence, public attitudes to the police, community engagement, and procedural justice.</w:t>
      </w:r>
    </w:p>
    <w:p w14:paraId="42173344" w14:textId="77777777" w:rsidR="00287734" w:rsidRPr="00BF0264" w:rsidRDefault="00287734" w:rsidP="00287734">
      <w:pPr>
        <w:pStyle w:val="NoSpacing"/>
      </w:pPr>
    </w:p>
    <w:p w14:paraId="70DAE208" w14:textId="181E43F8" w:rsidR="007E1C11" w:rsidRPr="00BF0264" w:rsidRDefault="007E1C11" w:rsidP="00287734">
      <w:pPr>
        <w:pStyle w:val="NoSpacing"/>
        <w:rPr>
          <w:b/>
        </w:rPr>
      </w:pPr>
      <w:r w:rsidRPr="00BF0264">
        <w:rPr>
          <w:b/>
        </w:rPr>
        <w:t>Second author</w:t>
      </w:r>
    </w:p>
    <w:p w14:paraId="5C224CB2" w14:textId="77777777" w:rsidR="007E1C11" w:rsidRPr="00BF0264" w:rsidRDefault="007E1C11" w:rsidP="00287734">
      <w:pPr>
        <w:pStyle w:val="NoSpacing"/>
        <w:rPr>
          <w:b/>
        </w:rPr>
      </w:pPr>
    </w:p>
    <w:p w14:paraId="0F1691FF" w14:textId="175D1C91" w:rsidR="00287734" w:rsidRPr="00BF0264" w:rsidRDefault="000A794C" w:rsidP="00287734">
      <w:pPr>
        <w:pStyle w:val="NoSpacing"/>
      </w:pPr>
      <w:r w:rsidRPr="00BF0264">
        <w:t>Professor Liz Kelly</w:t>
      </w:r>
    </w:p>
    <w:p w14:paraId="2AE52D12" w14:textId="6DD47C3C" w:rsidR="007E1C11" w:rsidRPr="00BF0264" w:rsidRDefault="007E1C11" w:rsidP="00287734">
      <w:pPr>
        <w:pStyle w:val="NoSpacing"/>
      </w:pPr>
      <w:r w:rsidRPr="00BF0264">
        <w:t>Child and Woman Abuse Studies Unit</w:t>
      </w:r>
    </w:p>
    <w:p w14:paraId="257E000B" w14:textId="5E64387A" w:rsidR="007E1C11" w:rsidRPr="00BF0264" w:rsidRDefault="007E1C11" w:rsidP="00287734">
      <w:pPr>
        <w:pStyle w:val="NoSpacing"/>
      </w:pPr>
      <w:r w:rsidRPr="00BF0264">
        <w:t>London Metropolitan University</w:t>
      </w:r>
    </w:p>
    <w:p w14:paraId="0BAF0CA0" w14:textId="78FD0B77" w:rsidR="007E1C11" w:rsidRPr="00BF0264" w:rsidRDefault="007E1C11" w:rsidP="00287734">
      <w:pPr>
        <w:pStyle w:val="NoSpacing"/>
      </w:pPr>
      <w:r w:rsidRPr="00BF0264">
        <w:t>Tower Building</w:t>
      </w:r>
    </w:p>
    <w:p w14:paraId="6D755ADB" w14:textId="77777777" w:rsidR="007E1C11" w:rsidRPr="00BF0264" w:rsidRDefault="007E1C11" w:rsidP="007E1C11">
      <w:pPr>
        <w:pStyle w:val="NoSpacing"/>
      </w:pPr>
      <w:r w:rsidRPr="00BF0264">
        <w:t>166-220 Holloway Road</w:t>
      </w:r>
    </w:p>
    <w:p w14:paraId="45D78B05" w14:textId="4A2B706E" w:rsidR="007E1C11" w:rsidRPr="00BF0264" w:rsidRDefault="007E1C11" w:rsidP="007E1C11">
      <w:pPr>
        <w:pStyle w:val="NoSpacing"/>
      </w:pPr>
      <w:r w:rsidRPr="00BF0264">
        <w:t>London N7 8DB</w:t>
      </w:r>
    </w:p>
    <w:p w14:paraId="4423FD0D" w14:textId="0169BCF7" w:rsidR="007E1C11" w:rsidRPr="00BF0264" w:rsidRDefault="0068488D" w:rsidP="007E1C11">
      <w:pPr>
        <w:pStyle w:val="NoSpacing"/>
      </w:pPr>
      <w:hyperlink r:id="rId8" w:history="1">
        <w:r w:rsidR="006802D0" w:rsidRPr="00BF0264">
          <w:rPr>
            <w:rStyle w:val="Hyperlink"/>
            <w:color w:val="auto"/>
          </w:rPr>
          <w:t>l.kelly@londonmet.ac.uk</w:t>
        </w:r>
      </w:hyperlink>
      <w:r w:rsidR="006802D0" w:rsidRPr="00BF0264">
        <w:t xml:space="preserve"> </w:t>
      </w:r>
    </w:p>
    <w:p w14:paraId="50AD8C9B" w14:textId="77777777" w:rsidR="00287734" w:rsidRPr="00BF0264" w:rsidRDefault="00287734" w:rsidP="00287734">
      <w:pPr>
        <w:pStyle w:val="NoSpacing"/>
      </w:pPr>
    </w:p>
    <w:p w14:paraId="2CF7FA44" w14:textId="466C4F1E" w:rsidR="00287734" w:rsidRPr="00BF0264" w:rsidRDefault="007E1C11" w:rsidP="00287734">
      <w:pPr>
        <w:pStyle w:val="NoSpacing"/>
        <w:rPr>
          <w:b/>
        </w:rPr>
      </w:pPr>
      <w:r w:rsidRPr="00BF0264">
        <w:rPr>
          <w:b/>
        </w:rPr>
        <w:t xml:space="preserve">Liz Kelly </w:t>
      </w:r>
      <w:r w:rsidRPr="00BF0264">
        <w:t xml:space="preserve">is professor of sexualised violence at London Metropolitan University. She has been active in the field of violence against women for forty years, and is the author of </w:t>
      </w:r>
      <w:r w:rsidRPr="00BF0264">
        <w:rPr>
          <w:i/>
        </w:rPr>
        <w:t>Surviving Sexual Violence</w:t>
      </w:r>
      <w:r w:rsidRPr="00BF0264">
        <w:t>, which established the concept of a 'continuum of violence', and over 100 book chapters and journal articles.</w:t>
      </w:r>
    </w:p>
    <w:p w14:paraId="4048C205" w14:textId="77777777" w:rsidR="00287734" w:rsidRPr="00BF0264" w:rsidRDefault="00287734" w:rsidP="00287734">
      <w:pPr>
        <w:pStyle w:val="NoSpacing"/>
      </w:pPr>
    </w:p>
    <w:p w14:paraId="4247FFF3" w14:textId="77777777" w:rsidR="00287734" w:rsidRPr="00BF0264" w:rsidRDefault="00287734" w:rsidP="00287734">
      <w:pPr>
        <w:pStyle w:val="NoSpacing"/>
      </w:pPr>
    </w:p>
    <w:p w14:paraId="5F32E7B7" w14:textId="77777777" w:rsidR="00287734" w:rsidRPr="00BF0264" w:rsidRDefault="00287734" w:rsidP="00287734">
      <w:pPr>
        <w:pStyle w:val="NoSpacing"/>
        <w:rPr>
          <w:b/>
        </w:rPr>
      </w:pPr>
      <w:r w:rsidRPr="00BF0264">
        <w:rPr>
          <w:b/>
        </w:rPr>
        <w:br w:type="page"/>
      </w:r>
    </w:p>
    <w:p w14:paraId="3EF03A89" w14:textId="77777777" w:rsidR="00287734" w:rsidRPr="00BF0264" w:rsidRDefault="00287734" w:rsidP="00D00FFA">
      <w:pPr>
        <w:pStyle w:val="NoSpacing"/>
        <w:spacing w:line="480" w:lineRule="auto"/>
        <w:rPr>
          <w:b/>
        </w:rPr>
      </w:pPr>
      <w:r w:rsidRPr="00BF0264">
        <w:rPr>
          <w:b/>
        </w:rPr>
        <w:lastRenderedPageBreak/>
        <w:t>Introduction</w:t>
      </w:r>
    </w:p>
    <w:p w14:paraId="2102788E" w14:textId="051C3571" w:rsidR="00287734" w:rsidRPr="00BF0264" w:rsidRDefault="00287734" w:rsidP="00D00FFA">
      <w:pPr>
        <w:pStyle w:val="NoSpacing"/>
        <w:spacing w:line="480" w:lineRule="auto"/>
      </w:pPr>
      <w:r w:rsidRPr="00BF0264">
        <w:t xml:space="preserve">The debate around measurement of domestic violence rumbles on, and has taken a new turn with the detailed work of Sylvia Walby and colleagues (Walby et al., 2016; Walby et al., 2017; Walby and Towers </w:t>
      </w:r>
      <w:r w:rsidR="00CF0228" w:rsidRPr="00BF0264">
        <w:t>2017; Walby and Towers, 2018) using</w:t>
      </w:r>
      <w:r w:rsidRPr="00BF0264">
        <w:t xml:space="preserve"> Crime Survey fo</w:t>
      </w:r>
      <w:r w:rsidR="00147E36" w:rsidRPr="00BF0264">
        <w:t>r England and Wales (</w:t>
      </w:r>
      <w:proofErr w:type="spellStart"/>
      <w:r w:rsidR="00147E36" w:rsidRPr="00BF0264">
        <w:t>CSEW</w:t>
      </w:r>
      <w:proofErr w:type="spellEnd"/>
      <w:r w:rsidR="00147E36" w:rsidRPr="00BF0264">
        <w:t>) data</w:t>
      </w:r>
      <w:r w:rsidRPr="00BF0264">
        <w:t xml:space="preserve"> </w:t>
      </w:r>
      <w:r w:rsidR="004C4704" w:rsidRPr="00BF0264">
        <w:t>to</w:t>
      </w:r>
      <w:r w:rsidRPr="00BF0264">
        <w:t xml:space="preserve"> </w:t>
      </w:r>
      <w:r w:rsidR="002F3E58" w:rsidRPr="00BF0264">
        <w:t>promote</w:t>
      </w:r>
      <w:r w:rsidR="004C4704" w:rsidRPr="00BF0264">
        <w:t xml:space="preserve"> </w:t>
      </w:r>
      <w:r w:rsidRPr="00BF0264">
        <w:t>a particular approach to researching the scale and nature of violence against women (Walby et al</w:t>
      </w:r>
      <w:r w:rsidR="00891CDE" w:rsidRPr="00BF0264">
        <w:t>.</w:t>
      </w:r>
      <w:r w:rsidRPr="00BF0264">
        <w:t>, 2017).</w:t>
      </w:r>
      <w:r w:rsidR="00B82CDF" w:rsidRPr="00BF0264">
        <w:t xml:space="preserve"> </w:t>
      </w:r>
      <w:r w:rsidR="002F3E58" w:rsidRPr="00BF0264">
        <w:t>While</w:t>
      </w:r>
      <w:r w:rsidRPr="00BF0264">
        <w:t xml:space="preserve"> we welcome the forensic excavation of </w:t>
      </w:r>
      <w:r w:rsidR="00B82CDF" w:rsidRPr="00BF0264">
        <w:t>data which is often hidden be</w:t>
      </w:r>
      <w:r w:rsidRPr="00BF0264">
        <w:t>neath headline findings from prevalence surveys, there are a number of theoretical and conceptual claims made within this recent work which are contested. These turn on several longstanding debates within social science in general and within the domestic violence field specifically: to what extent can survey data be used to capture complex social issues; what are defensible extrapolations from survey data, and how do these connect to theory; how should intimate partner violence be conceptualised and how does and should this connect to concepts in criminal and international law</w:t>
      </w:r>
      <w:r w:rsidR="00612425" w:rsidRPr="00BF0264">
        <w:t xml:space="preserve"> (see, for example, Merry, 2016)</w:t>
      </w:r>
      <w:r w:rsidRPr="00BF0264">
        <w:t xml:space="preserve">. </w:t>
      </w:r>
    </w:p>
    <w:p w14:paraId="76D7B0CE" w14:textId="7AC59A24" w:rsidR="00287734" w:rsidRPr="00BF0264" w:rsidRDefault="00287734" w:rsidP="00D00FFA">
      <w:pPr>
        <w:pStyle w:val="NoSpacing"/>
        <w:spacing w:line="480" w:lineRule="auto"/>
        <w:ind w:firstLine="720"/>
      </w:pPr>
      <w:r w:rsidRPr="00BF0264">
        <w:t xml:space="preserve">Walby and Towers (2017; 2018) present a theoretical framework for measurement centred on what they term ‘domestic violent crime’ and in the process suggest the concept of coercive control (see Stark, 2007) is a theoretical distraction from the task they prioritise – illuminating and mainstreaming gender in the measurement of domestic violence. The domestic violent crime model is premised on several assumptions, primarily: that all physical violence in interpersonal relationships is essentially coercive and instrumental in nature; that the criminal law is the best framework for capturing the range of abuse and harm suffered by victims of domestic violence; and that counting the frequency of discrete acts of </w:t>
      </w:r>
      <w:r w:rsidR="00891CDE" w:rsidRPr="00BF0264">
        <w:t>physical violence</w:t>
      </w:r>
      <w:r w:rsidRPr="00BF0264">
        <w:t xml:space="preserve"> is the best method for revealing the gendered nature of domestic violence. Walby and Towers propose (2017:12) a ‘short survey’ </w:t>
      </w:r>
      <w:r w:rsidR="006464F9" w:rsidRPr="00BF0264">
        <w:t xml:space="preserve">module </w:t>
      </w:r>
      <w:r w:rsidRPr="00BF0264">
        <w:t>they claim will permit ‘comparisons of rates of gendered violence over time and place’ and contribute to the methodology required to ‘develop and test a theory of change for gendered violence’.</w:t>
      </w:r>
    </w:p>
    <w:p w14:paraId="58CC0B1A" w14:textId="54C435C6" w:rsidR="00287734" w:rsidRPr="00BF0264" w:rsidRDefault="00287734" w:rsidP="00D00FFA">
      <w:pPr>
        <w:pStyle w:val="NoSpacing"/>
        <w:spacing w:line="480" w:lineRule="auto"/>
        <w:ind w:firstLine="720"/>
      </w:pPr>
      <w:r w:rsidRPr="00BF0264">
        <w:lastRenderedPageBreak/>
        <w:t>Drawing on the large international body of qualitative literature produced with survivors</w:t>
      </w:r>
      <w:r w:rsidR="00B82CDF" w:rsidRPr="00BF0264">
        <w:t>,</w:t>
      </w:r>
      <w:r w:rsidRPr="00BF0264">
        <w:t xml:space="preserve"> and our own research careers which include smaller scale</w:t>
      </w:r>
      <w:r w:rsidR="004C4704" w:rsidRPr="00BF0264">
        <w:t>/bespoke</w:t>
      </w:r>
      <w:r w:rsidRPr="00BF0264">
        <w:t xml:space="preserve"> surveys, examination of agency records and interviewing victim-survivors, we question these theoretical and conceptual assumptions. We argue that while a focus on physical violence helps illuminate the gendered nature of domestic violence in some respects, it obscures it in others. We further suggest that the criminal law, and the traditional crime categories that comprise it, are more open to interpretation than is acknowledged and do not reflect the continuous nature of the abuse experienced by many women, and that ‘harm’ needs to be interpreted more widely than (physical) injury resulting</w:t>
      </w:r>
      <w:r w:rsidR="00891CDE" w:rsidRPr="00BF0264">
        <w:t xml:space="preserve"> from discrete acts</w:t>
      </w:r>
      <w:r w:rsidRPr="00BF0264">
        <w:t>.</w:t>
      </w:r>
      <w:r w:rsidR="00B82CDF" w:rsidRPr="00BF0264">
        <w:t xml:space="preserve"> </w:t>
      </w:r>
      <w:r w:rsidR="00D85CF0" w:rsidRPr="00BF0264">
        <w:t>While</w:t>
      </w:r>
      <w:r w:rsidR="00612425" w:rsidRPr="00BF0264">
        <w:t xml:space="preserve"> we acknowledge the</w:t>
      </w:r>
      <w:r w:rsidR="00D85CF0" w:rsidRPr="00BF0264">
        <w:t xml:space="preserve"> importance</w:t>
      </w:r>
      <w:r w:rsidR="00612425" w:rsidRPr="00BF0264">
        <w:t xml:space="preserve"> </w:t>
      </w:r>
      <w:r w:rsidR="00D85CF0" w:rsidRPr="00BF0264">
        <w:t xml:space="preserve">and power </w:t>
      </w:r>
      <w:r w:rsidR="00612425" w:rsidRPr="00BF0264">
        <w:t>of comparable quantitat</w:t>
      </w:r>
      <w:r w:rsidR="00D85CF0" w:rsidRPr="00BF0264">
        <w:t>ive measurement</w:t>
      </w:r>
      <w:r w:rsidR="00612425" w:rsidRPr="00BF0264">
        <w:t xml:space="preserve"> </w:t>
      </w:r>
      <w:r w:rsidR="00D85CF0" w:rsidRPr="00BF0264">
        <w:t xml:space="preserve">– the United Nations, for example, has called for nation states to undertake a </w:t>
      </w:r>
      <w:proofErr w:type="spellStart"/>
      <w:r w:rsidR="00D85CF0" w:rsidRPr="00BF0264">
        <w:t>femicide</w:t>
      </w:r>
      <w:proofErr w:type="spellEnd"/>
      <w:r w:rsidR="00D85CF0" w:rsidRPr="00BF0264">
        <w:t xml:space="preserve"> census – </w:t>
      </w:r>
      <w:r w:rsidR="00612425" w:rsidRPr="00BF0264">
        <w:t xml:space="preserve">we also assert that </w:t>
      </w:r>
      <w:r w:rsidR="00B82CDF" w:rsidRPr="00BF0264">
        <w:t>e</w:t>
      </w:r>
      <w:r w:rsidRPr="00BF0264">
        <w:t>ngaging with qualitative research</w:t>
      </w:r>
      <w:r w:rsidR="00A43348" w:rsidRPr="00BF0264">
        <w:t>,</w:t>
      </w:r>
      <w:r w:rsidRPr="00BF0264">
        <w:t xml:space="preserve"> in which the voices of victim-survivors are at the core</w:t>
      </w:r>
      <w:r w:rsidR="00A43348" w:rsidRPr="00BF0264">
        <w:t>,</w:t>
      </w:r>
      <w:r w:rsidRPr="00BF0264">
        <w:t xml:space="preserve"> is a fundamental requirement for any theoretical conceptualisation of domestic violence</w:t>
      </w:r>
      <w:r w:rsidR="00D85CF0" w:rsidRPr="00BF0264">
        <w:t>,</w:t>
      </w:r>
      <w:r w:rsidR="00612425" w:rsidRPr="00BF0264">
        <w:t xml:space="preserve"> </w:t>
      </w:r>
      <w:r w:rsidRPr="00BF0264">
        <w:t xml:space="preserve">including how best to operationalise it in survey measurement. This is a debate which turns on whether measurement should be rooted </w:t>
      </w:r>
      <w:r w:rsidRPr="00BF0264">
        <w:rPr>
          <w:i/>
        </w:rPr>
        <w:t>only</w:t>
      </w:r>
      <w:r w:rsidRPr="00BF0264">
        <w:t xml:space="preserve"> in abstract crime categories</w:t>
      </w:r>
      <w:r w:rsidR="002F3E58" w:rsidRPr="00BF0264">
        <w:t>,</w:t>
      </w:r>
      <w:r w:rsidRPr="00BF0264">
        <w:t xml:space="preserve"> or should endeavour </w:t>
      </w:r>
      <w:r w:rsidR="002F3E58" w:rsidRPr="00BF0264">
        <w:t xml:space="preserve">also </w:t>
      </w:r>
      <w:r w:rsidRPr="00BF0264">
        <w:t xml:space="preserve">to reflect as much as possible what we </w:t>
      </w:r>
      <w:r w:rsidR="00D85CF0" w:rsidRPr="00BF0264">
        <w:t>understand</w:t>
      </w:r>
      <w:r w:rsidRPr="00BF0264">
        <w:t xml:space="preserve"> about lived experience.</w:t>
      </w:r>
    </w:p>
    <w:p w14:paraId="26D2DB49" w14:textId="77777777" w:rsidR="00287734" w:rsidRPr="00BF0264" w:rsidRDefault="00287734" w:rsidP="00D00FFA">
      <w:pPr>
        <w:pStyle w:val="NoSpacing"/>
        <w:spacing w:line="480" w:lineRule="auto"/>
      </w:pPr>
    </w:p>
    <w:p w14:paraId="02333625" w14:textId="77777777" w:rsidR="00287734" w:rsidRPr="00BF0264" w:rsidRDefault="00287734" w:rsidP="00D00FFA">
      <w:pPr>
        <w:pStyle w:val="NoSpacing"/>
        <w:spacing w:line="480" w:lineRule="auto"/>
        <w:rPr>
          <w:b/>
        </w:rPr>
      </w:pPr>
      <w:r w:rsidRPr="00BF0264">
        <w:rPr>
          <w:b/>
        </w:rPr>
        <w:t>The areas of contention</w:t>
      </w:r>
    </w:p>
    <w:p w14:paraId="01B0ECE2" w14:textId="320D6AB1" w:rsidR="00287734" w:rsidRPr="00BF0264" w:rsidRDefault="00287734" w:rsidP="00D00FFA">
      <w:pPr>
        <w:pStyle w:val="NoSpacing"/>
        <w:spacing w:line="480" w:lineRule="auto"/>
      </w:pPr>
      <w:r w:rsidRPr="00BF0264">
        <w:t>Our disagreements with the theoretical and empirical position put forward by Walby and Towers (2017; 2018) centre on: misrepresentation of the theory of coercive control, and the published work of Evan Stark in particular; the utility of coercive control as a theoretical framework for understanding domestic violence; the nature and measurement of physical violence experienced by women in different contexts; an</w:t>
      </w:r>
      <w:r w:rsidR="00147E36" w:rsidRPr="00BF0264">
        <w:t>d whether the criminal law and domestic violent crime</w:t>
      </w:r>
      <w:r w:rsidRPr="00BF0264">
        <w:t xml:space="preserve"> model can ever get close to the lived experiences of victim-survivors.</w:t>
      </w:r>
    </w:p>
    <w:p w14:paraId="7B7C397F" w14:textId="77777777" w:rsidR="00287734" w:rsidRPr="00BF0264" w:rsidRDefault="00287734" w:rsidP="00D00FFA">
      <w:pPr>
        <w:pStyle w:val="NoSpacing"/>
        <w:spacing w:line="480" w:lineRule="auto"/>
      </w:pPr>
    </w:p>
    <w:p w14:paraId="67B6B218" w14:textId="77777777" w:rsidR="00287734" w:rsidRPr="00BF0264" w:rsidRDefault="00287734" w:rsidP="00D00FFA">
      <w:pPr>
        <w:pStyle w:val="NoSpacing"/>
        <w:spacing w:line="480" w:lineRule="auto"/>
        <w:rPr>
          <w:i/>
        </w:rPr>
      </w:pPr>
      <w:r w:rsidRPr="00BF0264">
        <w:rPr>
          <w:i/>
        </w:rPr>
        <w:t>The misrepresentation of coercive control</w:t>
      </w:r>
    </w:p>
    <w:p w14:paraId="66DB29BE" w14:textId="198CFAB6" w:rsidR="00287734" w:rsidRPr="00BF0264" w:rsidRDefault="00287734" w:rsidP="00D00FFA">
      <w:pPr>
        <w:pStyle w:val="NoSpacing"/>
        <w:spacing w:line="480" w:lineRule="auto"/>
      </w:pPr>
      <w:r w:rsidRPr="00BF0264">
        <w:lastRenderedPageBreak/>
        <w:t xml:space="preserve">For those unfamiliar with this field, coercive control as a concept did not arise, as Walby and Towers (2018) imply, within debates around measurement of domestic violence. The framework of power and control sits at the heart of the earliest research with victim-survivors (see, for example, </w:t>
      </w:r>
      <w:proofErr w:type="spellStart"/>
      <w:r w:rsidRPr="00BF0264">
        <w:t>Dobash</w:t>
      </w:r>
      <w:proofErr w:type="spellEnd"/>
      <w:r w:rsidRPr="00BF0264">
        <w:t xml:space="preserve"> and </w:t>
      </w:r>
      <w:proofErr w:type="spellStart"/>
      <w:r w:rsidRPr="00BF0264">
        <w:t>Dobash</w:t>
      </w:r>
      <w:proofErr w:type="spellEnd"/>
      <w:r w:rsidRPr="00BF0264">
        <w:t>, 197</w:t>
      </w:r>
      <w:r w:rsidR="00162F98" w:rsidRPr="00BF0264">
        <w:t>9; Kelly, 1987; Schechter, 1982</w:t>
      </w:r>
      <w:r w:rsidRPr="00BF0264">
        <w:t xml:space="preserve">), and the term coercive control emerged when activists began to equate survivors’ experiences with those of victims of other ‘capture’ crimes where the concept was already established (see </w:t>
      </w:r>
      <w:proofErr w:type="spellStart"/>
      <w:r w:rsidRPr="00BF0264">
        <w:t>Okun</w:t>
      </w:r>
      <w:proofErr w:type="spellEnd"/>
      <w:r w:rsidRPr="00BF0264">
        <w:t>, 1986). Evan Stark’s (2007) development of a theory of coercive control built on this earlier work, and has been widely taken up as offering a more accurate conceptualisation of what living with domestic violence mean</w:t>
      </w:r>
      <w:r w:rsidR="00891CDE" w:rsidRPr="00BF0264">
        <w:t>s for women and children. While</w:t>
      </w:r>
      <w:r w:rsidRPr="00BF0264">
        <w:t xml:space="preserve"> Stark’s analysis extends previously influential frameworks</w:t>
      </w:r>
      <w:r w:rsidRPr="00BF0264">
        <w:rPr>
          <w:rStyle w:val="FootnoteReference"/>
        </w:rPr>
        <w:footnoteReference w:id="1"/>
      </w:r>
      <w:r w:rsidRPr="00BF0264">
        <w:t xml:space="preserve">, he also argues that </w:t>
      </w:r>
      <w:r w:rsidR="00942A4A" w:rsidRPr="00BF0264">
        <w:t>policy responses</w:t>
      </w:r>
      <w:r w:rsidRPr="00BF0264">
        <w:t xml:space="preserve"> have atrophied into a focus only on safety and an over emphasis on criminal justice interventions. For him, core harms of domestic violence are how it limits women’s freedom and undermines the self, explicit in t</w:t>
      </w:r>
      <w:r w:rsidR="00147E36" w:rsidRPr="00BF0264">
        <w:t>he sub</w:t>
      </w:r>
      <w:r w:rsidRPr="00BF0264">
        <w:t>title of his book ‘how men entrap women in everyday life’ (Stark, 2007).</w:t>
      </w:r>
    </w:p>
    <w:p w14:paraId="00DD54DD" w14:textId="409B6C40" w:rsidR="00287734" w:rsidRPr="00BF0264" w:rsidRDefault="00287734" w:rsidP="00D00FFA">
      <w:pPr>
        <w:pStyle w:val="NoSpacing"/>
        <w:spacing w:line="480" w:lineRule="auto"/>
        <w:ind w:firstLine="720"/>
      </w:pPr>
      <w:r w:rsidRPr="00BF0264">
        <w:t xml:space="preserve">One part of our argument is, then, that Walby and Towers misrepresent the theoretical positions on coercive control, and fail to recognise its resonance for victim-survivors and those who support them. Their representation is partial, reduced to an issue of measurement (of which more later). Stark (2007) distinguishes coercive control from what he terms the ‘assault’ model, which arguably has </w:t>
      </w:r>
      <w:r w:rsidR="00942A4A" w:rsidRPr="00BF0264">
        <w:t>a parallel with Walby and Tower</w:t>
      </w:r>
      <w:r w:rsidRPr="00BF0264">
        <w:t>s</w:t>
      </w:r>
      <w:r w:rsidR="00942A4A" w:rsidRPr="00BF0264">
        <w:t>’</w:t>
      </w:r>
      <w:r w:rsidRPr="00BF0264">
        <w:t xml:space="preserve"> concept of domestic violent crime. Drawing on human rights thinking, he defines domestic violence as a ‘liberty crime’ (Stark, 2007:13), arguing that abusive behaviours are wide-ranging and the control exerted is intended </w:t>
      </w:r>
      <w:r w:rsidR="00942A4A" w:rsidRPr="00BF0264">
        <w:t xml:space="preserve">to </w:t>
      </w:r>
      <w:r w:rsidRPr="00BF0264">
        <w:t xml:space="preserve">and/or has the consequence of restricting women’s freedoms. </w:t>
      </w:r>
    </w:p>
    <w:p w14:paraId="460D58E8" w14:textId="77777777" w:rsidR="00287734" w:rsidRPr="00BF0264" w:rsidRDefault="00287734" w:rsidP="00D00FFA">
      <w:pPr>
        <w:pStyle w:val="NoSpacing"/>
        <w:spacing w:line="480" w:lineRule="auto"/>
        <w:ind w:left="720"/>
      </w:pPr>
    </w:p>
    <w:p w14:paraId="0918A616" w14:textId="084C059B" w:rsidR="00287734" w:rsidRPr="00BF0264" w:rsidRDefault="00C065FC" w:rsidP="00D00FFA">
      <w:pPr>
        <w:pStyle w:val="NoSpacing"/>
        <w:spacing w:line="480" w:lineRule="auto"/>
        <w:ind w:left="720"/>
        <w:rPr>
          <w:i/>
        </w:rPr>
      </w:pPr>
      <w:r w:rsidRPr="00BF0264">
        <w:rPr>
          <w:i/>
        </w:rPr>
        <w:t xml:space="preserve">Men deploy coercive control to secure privileges that involve the use of time, control over material resources … the main means used to establish control is the </w:t>
      </w:r>
      <w:proofErr w:type="spellStart"/>
      <w:r w:rsidRPr="00BF0264">
        <w:rPr>
          <w:i/>
        </w:rPr>
        <w:t>microregulation</w:t>
      </w:r>
      <w:proofErr w:type="spellEnd"/>
      <w:r w:rsidRPr="00BF0264">
        <w:rPr>
          <w:i/>
        </w:rPr>
        <w:t xml:space="preserve"> of </w:t>
      </w:r>
      <w:r w:rsidRPr="00BF0264">
        <w:rPr>
          <w:i/>
        </w:rPr>
        <w:lastRenderedPageBreak/>
        <w:t xml:space="preserve">everyday behaviours associated with stereotypic female roles, such as how women dress, cook, clean, socialize, care for their children, or perform sexually (Stark, 2007:5). </w:t>
      </w:r>
    </w:p>
    <w:p w14:paraId="11A844DB" w14:textId="77777777" w:rsidR="00287734" w:rsidRPr="00BF0264" w:rsidRDefault="00287734" w:rsidP="00D00FFA">
      <w:pPr>
        <w:pStyle w:val="NoSpacing"/>
        <w:spacing w:line="480" w:lineRule="auto"/>
        <w:ind w:firstLine="720"/>
      </w:pPr>
    </w:p>
    <w:p w14:paraId="7F663522" w14:textId="3DF138F0" w:rsidR="00287734" w:rsidRPr="00BF0264" w:rsidRDefault="00287734" w:rsidP="00D00FFA">
      <w:pPr>
        <w:pStyle w:val="NoSpacing"/>
        <w:spacing w:line="480" w:lineRule="auto"/>
        <w:ind w:firstLine="720"/>
        <w:rPr>
          <w:rFonts w:eastAsia="Calibri" w:cs="Times New Roman"/>
          <w:szCs w:val="24"/>
        </w:rPr>
      </w:pPr>
      <w:r w:rsidRPr="00BF0264">
        <w:t xml:space="preserve">In some publications he makes reference to the UN </w:t>
      </w:r>
      <w:r w:rsidRPr="00BF0264">
        <w:rPr>
          <w:rFonts w:eastAsia="Calibri" w:cs="Times New Roman"/>
          <w:szCs w:val="24"/>
        </w:rPr>
        <w:t xml:space="preserve">Declaration on the Elimination of Violence </w:t>
      </w:r>
      <w:proofErr w:type="gramStart"/>
      <w:r w:rsidRPr="00BF0264">
        <w:rPr>
          <w:rFonts w:eastAsia="Calibri" w:cs="Times New Roman"/>
          <w:szCs w:val="24"/>
        </w:rPr>
        <w:t>Against</w:t>
      </w:r>
      <w:proofErr w:type="gramEnd"/>
      <w:r w:rsidRPr="00BF0264">
        <w:rPr>
          <w:rFonts w:eastAsia="Calibri" w:cs="Times New Roman"/>
          <w:szCs w:val="24"/>
        </w:rPr>
        <w:t xml:space="preserve"> Women (1993)</w:t>
      </w:r>
      <w:r w:rsidRPr="00BF0264">
        <w:rPr>
          <w:rFonts w:eastAsia="Calibri" w:cs="Times New Roman"/>
          <w:i/>
          <w:szCs w:val="24"/>
        </w:rPr>
        <w:t xml:space="preserve"> </w:t>
      </w:r>
      <w:r w:rsidRPr="00BF0264">
        <w:rPr>
          <w:rFonts w:eastAsia="Calibri" w:cs="Times New Roman"/>
          <w:szCs w:val="24"/>
        </w:rPr>
        <w:t>which explicitly rooted violence against women in unequal power relations, highlighting its role in reproducing male domination and female subordination. This document, and other international conventions and policy statements since, refer specifically to ‘psychological violence and intimidation’ and the phrase ‘arbitrary restrictions on liberty’ appears in the Council of Europe 2011 Istanbul Convention. In international law, therefore, violence against women an</w:t>
      </w:r>
      <w:r w:rsidR="004C4704" w:rsidRPr="00BF0264">
        <w:rPr>
          <w:rFonts w:eastAsia="Calibri" w:cs="Times New Roman"/>
          <w:szCs w:val="24"/>
        </w:rPr>
        <w:t>d within this domestic violence</w:t>
      </w:r>
      <w:r w:rsidRPr="00BF0264">
        <w:rPr>
          <w:rFonts w:eastAsia="Calibri" w:cs="Times New Roman"/>
          <w:szCs w:val="24"/>
        </w:rPr>
        <w:t xml:space="preserve"> are understood in terms wider than national law definitions of ‘violent crime’. Such understandings have recently been encoded into national law</w:t>
      </w:r>
      <w:r w:rsidR="004C4704" w:rsidRPr="00BF0264">
        <w:rPr>
          <w:rFonts w:eastAsia="Calibri" w:cs="Times New Roman"/>
          <w:szCs w:val="24"/>
        </w:rPr>
        <w:t xml:space="preserve"> in England and Wales</w:t>
      </w:r>
      <w:r w:rsidR="009D30D6" w:rsidRPr="00BF0264">
        <w:rPr>
          <w:rFonts w:eastAsia="Calibri" w:cs="Times New Roman"/>
          <w:szCs w:val="24"/>
        </w:rPr>
        <w:t xml:space="preserve"> (</w:t>
      </w:r>
      <w:r w:rsidR="00A43348" w:rsidRPr="00BF0264">
        <w:rPr>
          <w:rFonts w:eastAsia="Calibri" w:cs="Times New Roman"/>
          <w:szCs w:val="24"/>
        </w:rPr>
        <w:t xml:space="preserve">see </w:t>
      </w:r>
      <w:r w:rsidR="009D30D6" w:rsidRPr="00BF0264">
        <w:rPr>
          <w:rFonts w:eastAsia="Calibri" w:cs="Times New Roman"/>
          <w:szCs w:val="24"/>
        </w:rPr>
        <w:t>Stark and Hester, 2019)</w:t>
      </w:r>
      <w:r w:rsidRPr="00BF0264">
        <w:rPr>
          <w:rFonts w:eastAsia="Calibri" w:cs="Times New Roman"/>
          <w:szCs w:val="24"/>
        </w:rPr>
        <w:t>.</w:t>
      </w:r>
    </w:p>
    <w:p w14:paraId="0F1166AB" w14:textId="059453DE" w:rsidR="00C552D1" w:rsidRPr="00BF0264" w:rsidRDefault="00287734" w:rsidP="00D00FFA">
      <w:pPr>
        <w:pStyle w:val="NoSpacing"/>
        <w:spacing w:line="480" w:lineRule="auto"/>
        <w:ind w:firstLine="720"/>
        <w:rPr>
          <w:rFonts w:eastAsia="Calibri" w:cs="Times New Roman"/>
          <w:szCs w:val="24"/>
        </w:rPr>
      </w:pPr>
      <w:r w:rsidRPr="00BF0264">
        <w:t>Walby and Towers (2018) suggest the theory of coercive control is premised on the motivation of the perpetrator</w:t>
      </w:r>
      <w:r w:rsidR="00073F15" w:rsidRPr="00BF0264">
        <w:t>, and that it</w:t>
      </w:r>
      <w:r w:rsidR="003D7050" w:rsidRPr="00BF0264">
        <w:t xml:space="preserve"> downplays the salience of physical violence</w:t>
      </w:r>
      <w:r w:rsidRPr="00BF0264">
        <w:t xml:space="preserve">. That is not our reading. Stark is clear that both men and women can be motivated to control: what his theory recognises is that sexual inequality enables men to be more successful in this goal through the reproduction of gender orders and regimes (see Connell, 2010) at various levels of society, including the household (Morris, 2009). </w:t>
      </w:r>
      <w:r w:rsidRPr="00BF0264">
        <w:rPr>
          <w:rFonts w:eastAsia="Calibri" w:cs="Times New Roman"/>
          <w:szCs w:val="24"/>
        </w:rPr>
        <w:t>Walby and Towers (2018:5) also argue Stark ‘considers coercive control to be more detrimental to women’s wellbeing than physical violence’. We believe this position creates a false dichotomy between physical violence and non-physically violent forms of coercion that can both comprise a course of coercive an</w:t>
      </w:r>
      <w:r w:rsidR="005D07AD" w:rsidRPr="00BF0264">
        <w:rPr>
          <w:rFonts w:eastAsia="Calibri" w:cs="Times New Roman"/>
          <w:szCs w:val="24"/>
        </w:rPr>
        <w:t xml:space="preserve">d controlling conduct. Stark (2007:13) </w:t>
      </w:r>
      <w:r w:rsidRPr="00BF0264">
        <w:rPr>
          <w:rFonts w:eastAsia="Calibri" w:cs="Times New Roman"/>
          <w:szCs w:val="24"/>
        </w:rPr>
        <w:t xml:space="preserve">in fact </w:t>
      </w:r>
      <w:r w:rsidR="005D07AD" w:rsidRPr="00BF0264">
        <w:rPr>
          <w:rFonts w:eastAsia="Calibri" w:cs="Times New Roman"/>
          <w:szCs w:val="24"/>
        </w:rPr>
        <w:t xml:space="preserve">describes violence as ‘critical’ and he is </w:t>
      </w:r>
      <w:r w:rsidRPr="00BF0264">
        <w:rPr>
          <w:rFonts w:eastAsia="Calibri" w:cs="Times New Roman"/>
          <w:szCs w:val="24"/>
        </w:rPr>
        <w:t>clear that physical violence is a core tactic used by many (though, importantly, not all) coercive and controlling abusers. He suggests (</w:t>
      </w:r>
      <w:r w:rsidR="00891CDE" w:rsidRPr="00BF0264">
        <w:rPr>
          <w:rFonts w:eastAsia="Calibri" w:cs="Times New Roman"/>
          <w:szCs w:val="24"/>
        </w:rPr>
        <w:t>2017</w:t>
      </w:r>
      <w:r w:rsidRPr="00BF0264">
        <w:rPr>
          <w:rFonts w:eastAsia="Calibri" w:cs="Times New Roman"/>
          <w:szCs w:val="24"/>
        </w:rPr>
        <w:t>:18), citing Walby et al</w:t>
      </w:r>
      <w:r w:rsidR="00E24E8F" w:rsidRPr="00BF0264">
        <w:rPr>
          <w:rFonts w:eastAsia="Calibri" w:cs="Times New Roman"/>
          <w:szCs w:val="24"/>
        </w:rPr>
        <w:t>.</w:t>
      </w:r>
      <w:r w:rsidRPr="00BF0264">
        <w:rPr>
          <w:rFonts w:eastAsia="Calibri" w:cs="Times New Roman"/>
          <w:szCs w:val="24"/>
        </w:rPr>
        <w:t xml:space="preserve"> (2016) among other sources, that violence is ‘repeated’ in a majority of cases, and might be regarded as ‘serial’ (physical) abuse in many, ‘where assaults occur several times a week or more’. </w:t>
      </w:r>
    </w:p>
    <w:p w14:paraId="72ABD5F8" w14:textId="77777777" w:rsidR="00287734" w:rsidRPr="00BF0264" w:rsidRDefault="00287734" w:rsidP="003D7050">
      <w:pPr>
        <w:pStyle w:val="NoSpacing"/>
        <w:spacing w:line="480" w:lineRule="auto"/>
        <w:rPr>
          <w:rFonts w:eastAsia="Calibri" w:cs="Times New Roman"/>
          <w:szCs w:val="24"/>
        </w:rPr>
      </w:pPr>
    </w:p>
    <w:p w14:paraId="453C92A4" w14:textId="77777777" w:rsidR="00287734" w:rsidRPr="00BF0264" w:rsidRDefault="00287734" w:rsidP="00D00FFA">
      <w:pPr>
        <w:pStyle w:val="NoSpacing"/>
        <w:spacing w:line="480" w:lineRule="auto"/>
        <w:rPr>
          <w:i/>
        </w:rPr>
      </w:pPr>
      <w:r w:rsidRPr="00BF0264">
        <w:rPr>
          <w:i/>
        </w:rPr>
        <w:lastRenderedPageBreak/>
        <w:t>The utility of coercive control as a theoretical framework</w:t>
      </w:r>
    </w:p>
    <w:p w14:paraId="3FD267AF" w14:textId="28907AD8" w:rsidR="00287734" w:rsidRPr="00BF0264" w:rsidRDefault="00287734" w:rsidP="00D00FFA">
      <w:pPr>
        <w:pStyle w:val="NoSpacing"/>
        <w:spacing w:line="480" w:lineRule="auto"/>
      </w:pPr>
      <w:r w:rsidRPr="00BF0264">
        <w:t>We maintain that coercive control offers a more comprehensive explanatory framework to that presented by Walby and Towers (2017), one which complica</w:t>
      </w:r>
      <w:r w:rsidR="00C552D1" w:rsidRPr="00BF0264">
        <w:t xml:space="preserve">tes discussion of harm and </w:t>
      </w:r>
      <w:r w:rsidRPr="00BF0264">
        <w:t xml:space="preserve">reflects research documenting the lived experiences of victim-survivors. </w:t>
      </w:r>
      <w:r w:rsidRPr="00BF0264">
        <w:rPr>
          <w:rFonts w:cs="Arial"/>
        </w:rPr>
        <w:t>This body of work is rooted in qualitative research with both victims and perpetrators (see, for example,</w:t>
      </w:r>
      <w:r w:rsidR="002A4EAF" w:rsidRPr="00BF0264">
        <w:rPr>
          <w:rFonts w:cs="Arial"/>
        </w:rPr>
        <w:t xml:space="preserve"> Pence and </w:t>
      </w:r>
      <w:proofErr w:type="spellStart"/>
      <w:r w:rsidR="002A4EAF" w:rsidRPr="00BF0264">
        <w:rPr>
          <w:rFonts w:cs="Arial"/>
        </w:rPr>
        <w:t>Paymar</w:t>
      </w:r>
      <w:proofErr w:type="spellEnd"/>
      <w:r w:rsidR="002A4EAF" w:rsidRPr="00BF0264">
        <w:rPr>
          <w:rFonts w:cs="Arial"/>
        </w:rPr>
        <w:t xml:space="preserve">, 1993; Kelly and </w:t>
      </w:r>
      <w:proofErr w:type="spellStart"/>
      <w:r w:rsidRPr="00BF0264">
        <w:rPr>
          <w:rFonts w:cs="Arial"/>
        </w:rPr>
        <w:t>Westmarland</w:t>
      </w:r>
      <w:proofErr w:type="spellEnd"/>
      <w:r w:rsidRPr="00BF0264">
        <w:rPr>
          <w:rFonts w:cs="Arial"/>
        </w:rPr>
        <w:t>, 2016; Kirkwood, 1993; Lundgren, 1998) and in decades of support work; in both, the concepts of power and control are foundational.</w:t>
      </w:r>
    </w:p>
    <w:p w14:paraId="51248FA6" w14:textId="02A8BE5E" w:rsidR="002F3E58" w:rsidRPr="00BF0264" w:rsidRDefault="002F3E58" w:rsidP="00D00FFA">
      <w:pPr>
        <w:pStyle w:val="NoSpacing"/>
        <w:spacing w:line="480" w:lineRule="auto"/>
        <w:ind w:firstLine="720"/>
        <w:rPr>
          <w:rFonts w:cs="Arial"/>
        </w:rPr>
      </w:pPr>
      <w:r w:rsidRPr="00BF0264">
        <w:rPr>
          <w:rFonts w:cs="Arial"/>
        </w:rPr>
        <w:t>Walby and Towers (2017, 2018) suggest domestic violence should not be treated</w:t>
      </w:r>
      <w:r w:rsidR="00F8512B" w:rsidRPr="00BF0264">
        <w:rPr>
          <w:rFonts w:cs="Arial"/>
        </w:rPr>
        <w:t xml:space="preserve"> as a distinct form of violence.</w:t>
      </w:r>
      <w:r w:rsidRPr="00BF0264">
        <w:rPr>
          <w:rFonts w:cs="Arial"/>
        </w:rPr>
        <w:t xml:space="preserve"> </w:t>
      </w:r>
      <w:r w:rsidR="00F8512B" w:rsidRPr="00BF0264">
        <w:rPr>
          <w:rFonts w:cs="Arial"/>
        </w:rPr>
        <w:t>T</w:t>
      </w:r>
      <w:r w:rsidRPr="00BF0264">
        <w:rPr>
          <w:rFonts w:cs="Arial"/>
        </w:rPr>
        <w:t>his position represents</w:t>
      </w:r>
      <w:r w:rsidR="00891CDE" w:rsidRPr="00BF0264">
        <w:rPr>
          <w:rFonts w:cs="Arial"/>
        </w:rPr>
        <w:t xml:space="preserve"> </w:t>
      </w:r>
      <w:r w:rsidRPr="00BF0264">
        <w:rPr>
          <w:rFonts w:cs="Arial"/>
        </w:rPr>
        <w:t>a departure from previous writing in which ‘the specialised nature of domestic violence as a ‘course of conduct’’ was acknowledged (Walby, 2005:195). We contend</w:t>
      </w:r>
      <w:r w:rsidRPr="00BF0264">
        <w:t xml:space="preserve"> that domestic violence – or at least that suffered by women at the hands of male intimate partners – is a specific from of violence. While violent assaults that men experience in relationships may well fit into the same crime categories as those suffered by women, this violence is not located in </w:t>
      </w:r>
      <w:r w:rsidR="00075A72" w:rsidRPr="00BF0264">
        <w:t xml:space="preserve">an internationally recognised structural </w:t>
      </w:r>
      <w:r w:rsidRPr="00BF0264">
        <w:t>hierarch</w:t>
      </w:r>
      <w:r w:rsidR="00075A72" w:rsidRPr="00BF0264">
        <w:t xml:space="preserve">y which affords men more power in households and </w:t>
      </w:r>
      <w:r w:rsidR="00B906E9" w:rsidRPr="00BF0264">
        <w:t xml:space="preserve">in society </w:t>
      </w:r>
      <w:r w:rsidR="00075A72" w:rsidRPr="00BF0264">
        <w:t>more generally</w:t>
      </w:r>
      <w:r w:rsidR="00B906E9" w:rsidRPr="00BF0264">
        <w:t xml:space="preserve">. </w:t>
      </w:r>
      <w:r w:rsidR="00075A72" w:rsidRPr="00BF0264">
        <w:t xml:space="preserve">It is precisely </w:t>
      </w:r>
      <w:r w:rsidRPr="00BF0264">
        <w:t xml:space="preserve">this </w:t>
      </w:r>
      <w:r w:rsidR="00075A72" w:rsidRPr="00BF0264">
        <w:t xml:space="preserve">wider social </w:t>
      </w:r>
      <w:r w:rsidRPr="00BF0264">
        <w:t xml:space="preserve">context, rather than the simple frequency of physical violence, which explains why men are much less likely to report that they experienced violence as abusive and controlling, both in surveys and indeed when presenting to agencies as victims (see Hester et al., 2017). This reflects what the </w:t>
      </w:r>
      <w:proofErr w:type="spellStart"/>
      <w:r w:rsidRPr="00BF0264">
        <w:t>Dobashes</w:t>
      </w:r>
      <w:proofErr w:type="spellEnd"/>
      <w:r w:rsidRPr="00BF0264">
        <w:t xml:space="preserve"> (1979) referred to many years ago as a ‘context specific approach’, with the context being one in which structural hierarchies constitute and are constituted in violence. Eva Lundgren (1998) deepened this theoretical approach, drawing on depth interviews with victims and perpetrators to show how particular masculinities and femininities are created through violence. Whilst </w:t>
      </w:r>
      <w:r w:rsidRPr="00BF0264">
        <w:rPr>
          <w:rFonts w:cs="Arial"/>
        </w:rPr>
        <w:t>there was an argument in the 1970s</w:t>
      </w:r>
      <w:r w:rsidR="00B906E9" w:rsidRPr="00BF0264">
        <w:rPr>
          <w:rFonts w:cs="Arial"/>
        </w:rPr>
        <w:t>, in response to the low status afforded domestic violence,</w:t>
      </w:r>
      <w:r w:rsidRPr="00BF0264">
        <w:rPr>
          <w:rFonts w:cs="Arial"/>
        </w:rPr>
        <w:t xml:space="preserve"> that </w:t>
      </w:r>
      <w:r w:rsidR="00B906E9" w:rsidRPr="00BF0264">
        <w:rPr>
          <w:rFonts w:cs="Arial"/>
        </w:rPr>
        <w:t>law enforcement and prosecutorial</w:t>
      </w:r>
      <w:r w:rsidR="00075A72" w:rsidRPr="00BF0264">
        <w:rPr>
          <w:rFonts w:cs="Arial"/>
        </w:rPr>
        <w:t xml:space="preserve"> responses </w:t>
      </w:r>
      <w:r w:rsidRPr="00BF0264">
        <w:rPr>
          <w:rFonts w:cs="Arial"/>
        </w:rPr>
        <w:t>should</w:t>
      </w:r>
      <w:r w:rsidR="006E7B11" w:rsidRPr="00BF0264">
        <w:rPr>
          <w:rFonts w:cs="Arial"/>
        </w:rPr>
        <w:t xml:space="preserve"> echo those to criminal assaults outside the domestic sphere, </w:t>
      </w:r>
      <w:r w:rsidRPr="00BF0264">
        <w:rPr>
          <w:rFonts w:cs="Arial"/>
        </w:rPr>
        <w:t xml:space="preserve">scholarship since that time has recognised that, as a gendered course of conduct as opposed to a discrete incident or series of incidents, </w:t>
      </w:r>
      <w:r w:rsidR="00B906E9" w:rsidRPr="00BF0264">
        <w:rPr>
          <w:rFonts w:cs="Arial"/>
        </w:rPr>
        <w:t>it requires a bespoke response</w:t>
      </w:r>
      <w:r w:rsidRPr="00BF0264">
        <w:rPr>
          <w:rFonts w:cs="Arial"/>
        </w:rPr>
        <w:t>.</w:t>
      </w:r>
    </w:p>
    <w:p w14:paraId="05E070B5" w14:textId="3160D796" w:rsidR="00287734" w:rsidRPr="00BF0264" w:rsidRDefault="00287734" w:rsidP="00D00FFA">
      <w:pPr>
        <w:pStyle w:val="NoSpacing"/>
        <w:spacing w:line="480" w:lineRule="auto"/>
        <w:ind w:firstLine="720"/>
      </w:pPr>
      <w:r w:rsidRPr="00BF0264">
        <w:lastRenderedPageBreak/>
        <w:t xml:space="preserve">In arguing that </w:t>
      </w:r>
      <w:r w:rsidRPr="00BF0264">
        <w:rPr>
          <w:rFonts w:cs="Arial"/>
        </w:rPr>
        <w:t xml:space="preserve">physical acts ‘that pass the threshold of criminal law’ (Walby and Towers, 2018:2) are sufficient to illuminate the gendered nature of domestic violence, </w:t>
      </w:r>
      <w:r w:rsidRPr="00BF0264">
        <w:t>Walby and Towers are</w:t>
      </w:r>
      <w:r w:rsidR="002F3E58" w:rsidRPr="00BF0264">
        <w:t>, then,</w:t>
      </w:r>
      <w:r w:rsidRPr="00BF0264">
        <w:t xml:space="preserve"> placing themselves outside the </w:t>
      </w:r>
      <w:r w:rsidRPr="00BF0264">
        <w:rPr>
          <w:rFonts w:cs="Arial"/>
        </w:rPr>
        <w:t xml:space="preserve">usual reference point for feminist perspectives (see, for example, </w:t>
      </w:r>
      <w:proofErr w:type="spellStart"/>
      <w:r w:rsidRPr="00BF0264">
        <w:rPr>
          <w:rFonts w:cs="Arial"/>
        </w:rPr>
        <w:t>McGlynn</w:t>
      </w:r>
      <w:proofErr w:type="spellEnd"/>
      <w:r w:rsidRPr="00BF0264">
        <w:rPr>
          <w:rFonts w:cs="Arial"/>
        </w:rPr>
        <w:t xml:space="preserve"> and Munro, 2012). These have been honed over decades through detailed critiques of the failure of statute law to reflect the realities both</w:t>
      </w:r>
      <w:r w:rsidR="00990FAB" w:rsidRPr="00BF0264">
        <w:rPr>
          <w:rFonts w:cs="Arial"/>
        </w:rPr>
        <w:t xml:space="preserve"> of</w:t>
      </w:r>
      <w:r w:rsidRPr="00BF0264">
        <w:rPr>
          <w:rFonts w:cs="Arial"/>
        </w:rPr>
        <w:t xml:space="preserve"> domestic violence and violence against women more generally. It was precisely the inability of statute law to accommoda</w:t>
      </w:r>
      <w:r w:rsidR="004C4704" w:rsidRPr="00BF0264">
        <w:rPr>
          <w:rFonts w:cs="Arial"/>
        </w:rPr>
        <w:t xml:space="preserve">te women’s experiences that </w:t>
      </w:r>
      <w:r w:rsidRPr="00BF0264">
        <w:rPr>
          <w:rFonts w:cs="Arial"/>
        </w:rPr>
        <w:t>led to countless campaigns (ongoing at the time writing in relation to ‘</w:t>
      </w:r>
      <w:proofErr w:type="spellStart"/>
      <w:r w:rsidRPr="00BF0264">
        <w:rPr>
          <w:rFonts w:cs="Arial"/>
        </w:rPr>
        <w:t>upskirting</w:t>
      </w:r>
      <w:proofErr w:type="spellEnd"/>
      <w:r w:rsidRPr="00BF0264">
        <w:rPr>
          <w:rFonts w:cs="Arial"/>
        </w:rPr>
        <w:t xml:space="preserve">’) for its reform and extension. Sexual harassment has </w:t>
      </w:r>
      <w:r w:rsidR="00F8512B" w:rsidRPr="00BF0264">
        <w:rPr>
          <w:rFonts w:cs="Arial"/>
        </w:rPr>
        <w:t xml:space="preserve">in fact </w:t>
      </w:r>
      <w:r w:rsidRPr="00BF0264">
        <w:rPr>
          <w:rFonts w:cs="Arial"/>
        </w:rPr>
        <w:t>been within policy definitions of violence against women for decades, but many forms are not covered by criminal law. Making criminal law the arbiter of what counts as abuse is problematic in relation to much feminist theory. Walby recognised this argument in earlier analysis, illustrating, with regard to measurement frameworks, ‘</w:t>
      </w:r>
      <w:r w:rsidRPr="00BF0264">
        <w:t xml:space="preserve">[t]he narrowest are usually the legal ones, and these carry a certain authority because of their status [but] typically omit acts which some women identify as acts of violence’ (Walby, 1994:128). </w:t>
      </w:r>
      <w:proofErr w:type="spellStart"/>
      <w:r w:rsidRPr="00BF0264">
        <w:t>Walby’s</w:t>
      </w:r>
      <w:proofErr w:type="spellEnd"/>
      <w:r w:rsidRPr="00BF0264">
        <w:t xml:space="preserve"> analysis of </w:t>
      </w:r>
      <w:proofErr w:type="spellStart"/>
      <w:r w:rsidRPr="00BF0264">
        <w:t>CSEW</w:t>
      </w:r>
      <w:proofErr w:type="spellEnd"/>
      <w:r w:rsidRPr="00BF0264">
        <w:t xml:space="preserve"> data also showed that a significant proportion of abuse recorded by the survey was not regarded as ‘criminal’ by those reporting it (Walby and Allen, 2004:124).</w:t>
      </w:r>
    </w:p>
    <w:p w14:paraId="0E5071DA" w14:textId="5635DC44" w:rsidR="00287734" w:rsidRPr="00BF0264" w:rsidRDefault="00287734" w:rsidP="00D00FFA">
      <w:pPr>
        <w:pStyle w:val="NoSpacing"/>
        <w:spacing w:line="480" w:lineRule="auto"/>
        <w:ind w:firstLine="720"/>
      </w:pPr>
      <w:r w:rsidRPr="00BF0264">
        <w:t>This area of contention</w:t>
      </w:r>
      <w:r w:rsidR="004C4704" w:rsidRPr="00BF0264">
        <w:t>, then,</w:t>
      </w:r>
      <w:r w:rsidRPr="00BF0264">
        <w:t xml:space="preserve"> rests largely on the salience afforded to non-physical forms of coercion. While Walby and Towers (</w:t>
      </w:r>
      <w:r w:rsidR="004C4704" w:rsidRPr="00BF0264">
        <w:t>2018) restrict their analysis primarily</w:t>
      </w:r>
      <w:r w:rsidRPr="00BF0264">
        <w:t xml:space="preserve"> </w:t>
      </w:r>
      <w:r w:rsidR="004C4704" w:rsidRPr="00BF0264">
        <w:t xml:space="preserve">to </w:t>
      </w:r>
      <w:r w:rsidRPr="00BF0264">
        <w:t xml:space="preserve">discrete acts of physical violence experienced directly by the victim, coercive control recognises wider </w:t>
      </w:r>
      <w:r w:rsidR="00B60AB1" w:rsidRPr="00BF0264">
        <w:t xml:space="preserve">forms of </w:t>
      </w:r>
      <w:r w:rsidRPr="00BF0264">
        <w:t xml:space="preserve">coercion and postulates a pattern of fear based subordination which traverses months and years. One of the powerful possibilities of coercive control is that it recognises bespoke combinations of controlling behaviours that perpetrators craft in </w:t>
      </w:r>
      <w:r w:rsidR="00B60AB1" w:rsidRPr="00BF0264">
        <w:t xml:space="preserve">relation to the individual </w:t>
      </w:r>
      <w:r w:rsidRPr="00BF0264">
        <w:t xml:space="preserve">they are abusing, these can include: undermining confidence in work, education or parenting; playing on insecure immigration status or mental health concerns; undermining women if they have been abused previously, and so on. It also accommodates the fact that abuse frequently incorporates threats </w:t>
      </w:r>
      <w:r w:rsidR="00B60AB1" w:rsidRPr="00BF0264">
        <w:t xml:space="preserve">to </w:t>
      </w:r>
      <w:r w:rsidRPr="00BF0264">
        <w:t>or abuse of children, relatives, friends and pets</w:t>
      </w:r>
      <w:r w:rsidR="006464F9" w:rsidRPr="00BF0264">
        <w:t xml:space="preserve"> and that they may be harmed even where there is no direct abuse of them</w:t>
      </w:r>
      <w:r w:rsidRPr="00BF0264">
        <w:t xml:space="preserve">. </w:t>
      </w:r>
    </w:p>
    <w:p w14:paraId="4D697FB2" w14:textId="343FB86A" w:rsidR="003D7050" w:rsidRPr="00BF0264" w:rsidRDefault="003D7050" w:rsidP="00D00FFA">
      <w:pPr>
        <w:pStyle w:val="NoSpacing"/>
        <w:spacing w:line="480" w:lineRule="auto"/>
        <w:ind w:firstLine="720"/>
      </w:pPr>
      <w:r w:rsidRPr="00BF0264">
        <w:rPr>
          <w:rFonts w:eastAsia="Calibri" w:cs="Times New Roman"/>
          <w:szCs w:val="24"/>
        </w:rPr>
        <w:lastRenderedPageBreak/>
        <w:t xml:space="preserve">A further crucial difference between </w:t>
      </w:r>
      <w:r w:rsidR="00073F15" w:rsidRPr="00BF0264">
        <w:rPr>
          <w:rFonts w:eastAsia="Calibri" w:cs="Times New Roman"/>
          <w:szCs w:val="24"/>
        </w:rPr>
        <w:t>a theoretical framework premised on coercive control</w:t>
      </w:r>
      <w:r w:rsidRPr="00BF0264">
        <w:rPr>
          <w:rFonts w:eastAsia="Calibri" w:cs="Times New Roman"/>
          <w:szCs w:val="24"/>
        </w:rPr>
        <w:t xml:space="preserve"> and t</w:t>
      </w:r>
      <w:r w:rsidR="00073F15" w:rsidRPr="00BF0264">
        <w:rPr>
          <w:rFonts w:eastAsia="Calibri" w:cs="Times New Roman"/>
          <w:szCs w:val="24"/>
        </w:rPr>
        <w:t>hat proposed by</w:t>
      </w:r>
      <w:r w:rsidRPr="00BF0264">
        <w:rPr>
          <w:rFonts w:eastAsia="Calibri" w:cs="Times New Roman"/>
          <w:szCs w:val="24"/>
        </w:rPr>
        <w:t xml:space="preserve"> Walby and Towers concerns the calculus of ‘harm’. Walby and Towers’ (2017) proposed measurement framework has physical injury (or fear, in the case of non-violent threats) caused by each discrete assault as the indicator of harm. Though Stark acknowledges that many victims do suffer serious physical injury from specific assaults, he argues that harm for victims of coercive control, including their sense of generalised fear, ‘is the </w:t>
      </w:r>
      <w:r w:rsidRPr="00A67B96">
        <w:rPr>
          <w:rFonts w:eastAsia="Calibri" w:cs="Times New Roman"/>
          <w:i/>
          <w:szCs w:val="24"/>
        </w:rPr>
        <w:t>cumulative result of all previous abuse</w:t>
      </w:r>
      <w:r w:rsidRPr="00BF0264">
        <w:rPr>
          <w:rFonts w:eastAsia="Calibri" w:cs="Times New Roman"/>
          <w:szCs w:val="24"/>
        </w:rPr>
        <w:t>’ (Stark, 2017:19, emphasis in original). This analysis chimes with qualitative research which has shown over time and across jurisdictions that victim-survivors experience the continuous coercive nature of abuse as more harmful – psychologically and in some respects physically – than injuries sustained through discrete acts of physical violence (</w:t>
      </w:r>
      <w:proofErr w:type="spellStart"/>
      <w:r w:rsidRPr="00BF0264">
        <w:rPr>
          <w:rFonts w:eastAsia="Calibri" w:cs="Times New Roman"/>
          <w:szCs w:val="24"/>
        </w:rPr>
        <w:t>Dobash</w:t>
      </w:r>
      <w:proofErr w:type="spellEnd"/>
      <w:r w:rsidRPr="00BF0264">
        <w:rPr>
          <w:rFonts w:eastAsia="Calibri" w:cs="Times New Roman"/>
          <w:szCs w:val="24"/>
        </w:rPr>
        <w:t xml:space="preserve"> and </w:t>
      </w:r>
      <w:proofErr w:type="spellStart"/>
      <w:r w:rsidRPr="00BF0264">
        <w:rPr>
          <w:rFonts w:eastAsia="Calibri" w:cs="Times New Roman"/>
          <w:szCs w:val="24"/>
        </w:rPr>
        <w:t>Dobash</w:t>
      </w:r>
      <w:proofErr w:type="spellEnd"/>
      <w:r w:rsidRPr="00BF0264">
        <w:rPr>
          <w:rFonts w:eastAsia="Calibri" w:cs="Times New Roman"/>
          <w:szCs w:val="24"/>
        </w:rPr>
        <w:t xml:space="preserve">, 1979; </w:t>
      </w:r>
      <w:proofErr w:type="spellStart"/>
      <w:r w:rsidRPr="00BF0264">
        <w:rPr>
          <w:rFonts w:eastAsia="Calibri" w:cs="Times New Roman"/>
          <w:szCs w:val="24"/>
        </w:rPr>
        <w:t>Goard</w:t>
      </w:r>
      <w:proofErr w:type="spellEnd"/>
      <w:r w:rsidRPr="00BF0264">
        <w:rPr>
          <w:rFonts w:eastAsia="Calibri" w:cs="Times New Roman"/>
          <w:szCs w:val="24"/>
        </w:rPr>
        <w:t xml:space="preserve"> and </w:t>
      </w:r>
      <w:proofErr w:type="spellStart"/>
      <w:r w:rsidRPr="00BF0264">
        <w:rPr>
          <w:rFonts w:eastAsia="Calibri" w:cs="Times New Roman"/>
          <w:szCs w:val="24"/>
        </w:rPr>
        <w:t>Tutty</w:t>
      </w:r>
      <w:proofErr w:type="spellEnd"/>
      <w:r w:rsidRPr="00BF0264">
        <w:rPr>
          <w:rFonts w:eastAsia="Calibri" w:cs="Times New Roman"/>
          <w:szCs w:val="24"/>
        </w:rPr>
        <w:t>, 2002; Kelly</w:t>
      </w:r>
      <w:r w:rsidR="00073F15" w:rsidRPr="00BF0264">
        <w:rPr>
          <w:rFonts w:eastAsia="Calibri" w:cs="Times New Roman"/>
          <w:szCs w:val="24"/>
        </w:rPr>
        <w:t>,</w:t>
      </w:r>
      <w:r w:rsidRPr="00BF0264">
        <w:rPr>
          <w:rFonts w:eastAsia="Calibri" w:cs="Times New Roman"/>
          <w:szCs w:val="24"/>
        </w:rPr>
        <w:t xml:space="preserve"> 1987; Kirkwood, 1993; Lundgren, 1998; Kelly et al., 2014). In addition, Stark and Hester (2019) note that, in relation to particular incidents, the level of injury to a primary perpetrator might be greater than to a primary victim, if for example a woman is using a weapon in self-defence in the context of ongoing coercive control.</w:t>
      </w:r>
    </w:p>
    <w:p w14:paraId="24232E91" w14:textId="7CA47D57" w:rsidR="00287734" w:rsidRPr="00BF0264" w:rsidRDefault="003D7050" w:rsidP="00D00FFA">
      <w:pPr>
        <w:pStyle w:val="NoSpacing"/>
        <w:spacing w:line="480" w:lineRule="auto"/>
        <w:ind w:firstLine="720"/>
      </w:pPr>
      <w:r w:rsidRPr="00BF0264">
        <w:rPr>
          <w:rFonts w:cs="Arial"/>
        </w:rPr>
        <w:t>To sum up, w</w:t>
      </w:r>
      <w:r w:rsidR="00891CDE" w:rsidRPr="00BF0264">
        <w:rPr>
          <w:rFonts w:cs="Arial"/>
        </w:rPr>
        <w:t xml:space="preserve">hile </w:t>
      </w:r>
      <w:r w:rsidR="00287734" w:rsidRPr="00BF0264">
        <w:rPr>
          <w:rFonts w:cs="Arial"/>
        </w:rPr>
        <w:t xml:space="preserve">Walby and Towers explore the operationalization of both gender and violence in survey methodology, since </w:t>
      </w:r>
      <w:r w:rsidR="00891CDE" w:rsidRPr="00BF0264">
        <w:rPr>
          <w:rFonts w:cs="Arial"/>
        </w:rPr>
        <w:t xml:space="preserve">it </w:t>
      </w:r>
      <w:r w:rsidR="00287734" w:rsidRPr="00BF0264">
        <w:rPr>
          <w:rFonts w:cs="Arial"/>
        </w:rPr>
        <w:t xml:space="preserve">is a consideration of measurement, how gender is lived, reproduced and constituted within violence sits outside the frame of the </w:t>
      </w:r>
      <w:r w:rsidR="002A4EAF" w:rsidRPr="00BF0264">
        <w:rPr>
          <w:rFonts w:cs="Arial"/>
        </w:rPr>
        <w:t>debate</w:t>
      </w:r>
      <w:r w:rsidR="00287734" w:rsidRPr="00BF0264">
        <w:rPr>
          <w:rFonts w:cs="Arial"/>
        </w:rPr>
        <w:t xml:space="preserve">. </w:t>
      </w:r>
      <w:r w:rsidR="00287734" w:rsidRPr="00BF0264">
        <w:t xml:space="preserve">Gender in the domestic violent crime model becomes a variable, albeit a theory laden one, rather than a structural, relational hierarchy. We agree with </w:t>
      </w:r>
      <w:proofErr w:type="spellStart"/>
      <w:r w:rsidR="00287734" w:rsidRPr="00BF0264">
        <w:t>Walby’s</w:t>
      </w:r>
      <w:proofErr w:type="spellEnd"/>
      <w:r w:rsidR="00287734" w:rsidRPr="00BF0264">
        <w:t xml:space="preserve"> earlier position on this issue, where she suggested ‘male violence against women has all the characteristics … of a social structure, and that it cannot be understood outside an analysis of patriarchal social structures’ (Walby, 1994:128). We are not convinced that knowing the extent and distribution of violent acts between women and men constitutes strong enough grounds to ‘adjudicate between … competing paradigms’ (Walby and Towers, 2017:12). This knowledge might provide a basis on which to explore theories of measurement, but is it really </w:t>
      </w:r>
      <w:r w:rsidR="00307143" w:rsidRPr="00BF0264">
        <w:t xml:space="preserve">coterminous, as claimed, </w:t>
      </w:r>
      <w:r w:rsidR="00287734" w:rsidRPr="00BF0264">
        <w:t xml:space="preserve">with explanations and causal pathways? Making the gender dimensions of domestic violence visible is an aim we support; we are less </w:t>
      </w:r>
      <w:r w:rsidR="00287734" w:rsidRPr="00BF0264">
        <w:lastRenderedPageBreak/>
        <w:t>convinced that this is possible when gender is reduced to a variable within a measurement framework for survey methodology. At issue here is not just how to engage with the ‘gender symmetry’ debate (see Myhill, 2017), but how domestic violence has been understood since the 1970s as constituted in, through and of gender.</w:t>
      </w:r>
    </w:p>
    <w:p w14:paraId="74BE34B5" w14:textId="77777777" w:rsidR="00287734" w:rsidRPr="00BF0264" w:rsidRDefault="00287734" w:rsidP="00D00FFA">
      <w:pPr>
        <w:pStyle w:val="NoSpacing"/>
        <w:spacing w:line="480" w:lineRule="auto"/>
      </w:pPr>
    </w:p>
    <w:p w14:paraId="3FF90142" w14:textId="77777777" w:rsidR="00287734" w:rsidRPr="00BF0264" w:rsidRDefault="00287734" w:rsidP="00D00FFA">
      <w:pPr>
        <w:pStyle w:val="NoSpacing"/>
        <w:spacing w:line="480" w:lineRule="auto"/>
        <w:rPr>
          <w:i/>
        </w:rPr>
      </w:pPr>
      <w:r w:rsidRPr="00BF0264">
        <w:rPr>
          <w:i/>
        </w:rPr>
        <w:t>The nature and measurement of physical violence</w:t>
      </w:r>
    </w:p>
    <w:p w14:paraId="4EB22468" w14:textId="6B3B6178" w:rsidR="00287734" w:rsidRPr="00BF0264" w:rsidRDefault="00287734" w:rsidP="00D00FFA">
      <w:pPr>
        <w:pStyle w:val="NoSpacing"/>
        <w:spacing w:line="480" w:lineRule="auto"/>
      </w:pPr>
      <w:r w:rsidRPr="00BF0264">
        <w:t xml:space="preserve">A key assumption of the domestic violent crime framework is that all physical violence committed by intimate partners or family members </w:t>
      </w:r>
      <w:r w:rsidR="002F3E58" w:rsidRPr="00BF0264">
        <w:t>is coercive</w:t>
      </w:r>
      <w:r w:rsidRPr="00BF0264">
        <w:t xml:space="preserve"> and operates in an instrumental way, even if it is infrequent (Walby and Towers, 2018). This is a highly contestable position. Indeed, researchers in the wider field of ‘aggression’ have long differentiated between such ‘instrumental’ violence and violence that has been descri</w:t>
      </w:r>
      <w:r w:rsidR="007D3A7F" w:rsidRPr="00BF0264">
        <w:t>b</w:t>
      </w:r>
      <w:r w:rsidRPr="00BF0264">
        <w:t>ed variously as ‘expressive’, ‘reactive’ or ‘impul</w:t>
      </w:r>
      <w:r w:rsidR="00075BDA" w:rsidRPr="00BF0264">
        <w:t>sive’ (Stuart and Stuart, 2008:</w:t>
      </w:r>
      <w:r w:rsidRPr="00BF0264">
        <w:t>231). While instrumental violence is goal-oriented and intended to elicit compliance, expressive violence is an emotional reaction to situational factors. It tends to be ‘brief and explosive’, and the perpetrator will often exhibit genuine re</w:t>
      </w:r>
      <w:r w:rsidR="00075BDA" w:rsidRPr="00BF0264">
        <w:t>morse (Stuart and Stuart, 2008:</w:t>
      </w:r>
      <w:r w:rsidRPr="00BF0264">
        <w:t>231). Notwithstanding the fact that expressive violence likely exists on a continuum with instrumental violence, and that some acts may cause emotional trauma and intimidation even in the absence of serious physical injury (Stuart and Stuart, 2008), existing research points strongly to the existence of ‘situat</w:t>
      </w:r>
      <w:r w:rsidR="006464F9" w:rsidRPr="00BF0264">
        <w:t>ional’ acts of domestic violent crime</w:t>
      </w:r>
      <w:r w:rsidRPr="00BF0264">
        <w:t xml:space="preserve"> (see </w:t>
      </w:r>
      <w:proofErr w:type="spellStart"/>
      <w:r w:rsidRPr="00BF0264">
        <w:t>Langhinrichsen-R</w:t>
      </w:r>
      <w:r w:rsidR="007D3A7F" w:rsidRPr="00BF0264">
        <w:t>ohling</w:t>
      </w:r>
      <w:proofErr w:type="spellEnd"/>
      <w:r w:rsidR="007D3A7F" w:rsidRPr="00BF0264">
        <w:t xml:space="preserve">, </w:t>
      </w:r>
      <w:r w:rsidRPr="00BF0264">
        <w:t xml:space="preserve">2010); acts that occur outside of a </w:t>
      </w:r>
      <w:r w:rsidR="00990FAB" w:rsidRPr="00BF0264">
        <w:t xml:space="preserve">wider </w:t>
      </w:r>
      <w:r w:rsidRPr="00BF0264">
        <w:t>context of coercion an</w:t>
      </w:r>
      <w:r w:rsidR="00612E53" w:rsidRPr="00BF0264">
        <w:t>d</w:t>
      </w:r>
      <w:r w:rsidRPr="00BF0264">
        <w:t xml:space="preserve"> control, and which may or may not res</w:t>
      </w:r>
      <w:r w:rsidR="007D3A7F" w:rsidRPr="00BF0264">
        <w:t xml:space="preserve">ult in harm to the recipient. </w:t>
      </w:r>
      <w:r w:rsidRPr="00BF0264">
        <w:t xml:space="preserve">While we are not claiming that population surveys measure solely or even primarily situational domestic violence (see Myhill, 2015), the fact that 43% of respondents reporting abuse to the </w:t>
      </w:r>
      <w:proofErr w:type="spellStart"/>
      <w:r w:rsidRPr="00BF0264">
        <w:t>CSEW</w:t>
      </w:r>
      <w:proofErr w:type="spellEnd"/>
      <w:r w:rsidRPr="00BF0264">
        <w:t xml:space="preserve"> said they didn’t report the matter to the</w:t>
      </w:r>
      <w:r w:rsidR="007F3956" w:rsidRPr="00BF0264">
        <w:t xml:space="preserve"> police because it was ‘trivial or </w:t>
      </w:r>
      <w:r w:rsidRPr="00BF0264">
        <w:t xml:space="preserve">not worth reporting’ </w:t>
      </w:r>
      <w:r w:rsidR="007F3956" w:rsidRPr="00BF0264">
        <w:t>(Office for National Statistics, 2016:26</w:t>
      </w:r>
      <w:r w:rsidR="00612E53" w:rsidRPr="00BF0264">
        <w:t xml:space="preserve">) </w:t>
      </w:r>
      <w:r w:rsidRPr="00BF0264">
        <w:t>suggests that not all domestic violence caught by the survey is instrumental in nature as Walby and Towers (2018) suggest.</w:t>
      </w:r>
    </w:p>
    <w:p w14:paraId="04E81979" w14:textId="7CFFABDD" w:rsidR="006624B4" w:rsidRPr="00BF0264" w:rsidRDefault="006624B4" w:rsidP="00D00FFA">
      <w:pPr>
        <w:pStyle w:val="NoSpacing"/>
        <w:spacing w:line="480" w:lineRule="auto"/>
      </w:pPr>
      <w:r w:rsidRPr="00BF0264">
        <w:tab/>
        <w:t xml:space="preserve">Typologies have been proposed to account for these different forms of violence (Stark, 2007; Johnson, 2008). These typologies distinguish primarily between coercive control and discrete acts of </w:t>
      </w:r>
      <w:r w:rsidRPr="00BF0264">
        <w:lastRenderedPageBreak/>
        <w:t xml:space="preserve">physical violence that occur outside a wider context of </w:t>
      </w:r>
      <w:r w:rsidR="00295F52" w:rsidRPr="00BF0264">
        <w:t>controlling behaviour</w:t>
      </w:r>
      <w:r w:rsidRPr="00BF0264">
        <w:t>. Walby and Towers (2018) dismiss such typologies, arguing they downgrade the salience of physical violence. We feel this position misrepresents the work of Stark, in particular. Stark’s typology, rather than being a binary distinction (as Walby and Towers suggest), includes a category of ‘partner assaults’: acts of violence that are outside of a wider pattern of controlling abuse, but are nonetheless intended to coerce when repeated over time (the ‘instrumental’ violence that Walby and Towers recognise). We agree with Walby and Towers’ (2018) suggestion that such typologies may be seen as fixed or stable, but that does not have to be the interpretation. In fact, it is perfectly feasible that, in some cases, what begins as situational violence may become coercive control if there is a shift in the balance of pow</w:t>
      </w:r>
      <w:r w:rsidR="00D329B0" w:rsidRPr="00BF0264">
        <w:t>er in a relationship (following</w:t>
      </w:r>
      <w:r w:rsidRPr="00BF0264">
        <w:t xml:space="preserve"> the birth of a child</w:t>
      </w:r>
      <w:r w:rsidR="00D329B0" w:rsidRPr="00BF0264">
        <w:t>, for example</w:t>
      </w:r>
      <w:r w:rsidRPr="00BF0264">
        <w:t>).</w:t>
      </w:r>
    </w:p>
    <w:p w14:paraId="15F68A6E" w14:textId="272244A3" w:rsidR="00287734" w:rsidRPr="00BF0264" w:rsidRDefault="00287734" w:rsidP="00D00FFA">
      <w:pPr>
        <w:pStyle w:val="NoSpacing"/>
        <w:spacing w:line="480" w:lineRule="auto"/>
      </w:pPr>
      <w:r w:rsidRPr="00BF0264">
        <w:tab/>
      </w:r>
    </w:p>
    <w:p w14:paraId="2E2955B6" w14:textId="77777777" w:rsidR="00287734" w:rsidRPr="00BF0264" w:rsidRDefault="00287734" w:rsidP="00D00FFA">
      <w:pPr>
        <w:pStyle w:val="NoSpacing"/>
        <w:spacing w:line="480" w:lineRule="auto"/>
        <w:rPr>
          <w:i/>
        </w:rPr>
      </w:pPr>
      <w:r w:rsidRPr="00BF0264">
        <w:rPr>
          <w:i/>
        </w:rPr>
        <w:t>Counting crimes vs a course of conduct</w:t>
      </w:r>
    </w:p>
    <w:p w14:paraId="02C9F6FF" w14:textId="542B30C5" w:rsidR="00287734" w:rsidRPr="00BF0264" w:rsidRDefault="00287734" w:rsidP="00D00FFA">
      <w:pPr>
        <w:pStyle w:val="NoSpacing"/>
        <w:spacing w:line="480" w:lineRule="auto"/>
      </w:pPr>
      <w:r w:rsidRPr="00BF0264">
        <w:rPr>
          <w:rFonts w:cs="Arial"/>
        </w:rPr>
        <w:t xml:space="preserve">In this section we explore the reduction of coercive control to repetition, and the </w:t>
      </w:r>
      <w:r w:rsidR="00E274E1" w:rsidRPr="00BF0264">
        <w:rPr>
          <w:rFonts w:cs="Arial"/>
        </w:rPr>
        <w:t>interaction</w:t>
      </w:r>
      <w:r w:rsidRPr="00BF0264">
        <w:rPr>
          <w:rFonts w:cs="Arial"/>
        </w:rPr>
        <w:t xml:space="preserve"> between counting and understanding. Walby and Towers (2017) argue that since repetition of p</w:t>
      </w:r>
      <w:r w:rsidR="00891CDE" w:rsidRPr="00BF0264">
        <w:rPr>
          <w:rFonts w:cs="Arial"/>
        </w:rPr>
        <w:t xml:space="preserve">hysical assaults is gendered </w:t>
      </w:r>
      <w:r w:rsidRPr="00BF0264">
        <w:rPr>
          <w:rFonts w:cs="Arial"/>
        </w:rPr>
        <w:t xml:space="preserve">each </w:t>
      </w:r>
      <w:r w:rsidR="00891CDE" w:rsidRPr="00BF0264">
        <w:rPr>
          <w:rFonts w:cs="Arial"/>
        </w:rPr>
        <w:t>violent event should be counted</w:t>
      </w:r>
      <w:r w:rsidRPr="00BF0264">
        <w:rPr>
          <w:rFonts w:cs="Arial"/>
        </w:rPr>
        <w:t xml:space="preserve"> in order that gendered disproportionality can be calculated. In this process</w:t>
      </w:r>
      <w:r w:rsidR="00891CDE" w:rsidRPr="00BF0264">
        <w:rPr>
          <w:rFonts w:cs="Arial"/>
        </w:rPr>
        <w:t>,</w:t>
      </w:r>
      <w:r w:rsidRPr="00BF0264">
        <w:rPr>
          <w:rFonts w:cs="Arial"/>
        </w:rPr>
        <w:t xml:space="preserve"> domestic violence is reduced to a series of crime incidents with frequency a dimension of measurement which is gendered. The alternative approach views some forms of violence against women as courses of conduct, which is less about counting </w:t>
      </w:r>
      <w:r w:rsidR="00E274E1" w:rsidRPr="00BF0264">
        <w:rPr>
          <w:rFonts w:cs="Arial"/>
        </w:rPr>
        <w:t xml:space="preserve">specific violent acts </w:t>
      </w:r>
      <w:r w:rsidRPr="00BF0264">
        <w:rPr>
          <w:rFonts w:cs="Arial"/>
        </w:rPr>
        <w:t xml:space="preserve">and more about understanding processes of coercion and control which enable repetition. This notion is at the core of the concept of coercive control: to focus on a context of living </w:t>
      </w:r>
      <w:r w:rsidR="00A67B96">
        <w:rPr>
          <w:rFonts w:cs="Arial"/>
        </w:rPr>
        <w:t>in which everyday life is micro-</w:t>
      </w:r>
      <w:r w:rsidRPr="00BF0264">
        <w:rPr>
          <w:rFonts w:cs="Arial"/>
        </w:rPr>
        <w:t xml:space="preserve">managed, with the harm being the reduction of personhood and freedom. It is precisely the ongoing relational context, linked to existing gender inequality, which accounts for the deep impacts on women’s sense of self and their behaviour: they adapt to limit the abuse and its harms. An interesting parallel here is </w:t>
      </w:r>
      <w:r w:rsidR="00443D6B" w:rsidRPr="00BF0264">
        <w:rPr>
          <w:rFonts w:cs="Arial"/>
        </w:rPr>
        <w:t>Fiona Vera-</w:t>
      </w:r>
      <w:proofErr w:type="spellStart"/>
      <w:r w:rsidR="00443D6B" w:rsidRPr="00BF0264">
        <w:rPr>
          <w:rFonts w:cs="Arial"/>
        </w:rPr>
        <w:t>Gra</w:t>
      </w:r>
      <w:r w:rsidRPr="00BF0264">
        <w:rPr>
          <w:rFonts w:cs="Arial"/>
        </w:rPr>
        <w:t>y’s</w:t>
      </w:r>
      <w:proofErr w:type="spellEnd"/>
      <w:r w:rsidRPr="00BF0264">
        <w:rPr>
          <w:rFonts w:cs="Arial"/>
        </w:rPr>
        <w:t xml:space="preserve"> (201</w:t>
      </w:r>
      <w:r w:rsidR="00112EE4" w:rsidRPr="00BF0264">
        <w:rPr>
          <w:rFonts w:cs="Arial"/>
        </w:rPr>
        <w:t xml:space="preserve">8) </w:t>
      </w:r>
      <w:r w:rsidRPr="00BF0264">
        <w:rPr>
          <w:rFonts w:cs="Arial"/>
        </w:rPr>
        <w:t xml:space="preserve">work on sexual harassment: her depth qualitative research revealed that women have an embodied anticipation of intrusion when they are in public space, and that to prevent such encounters they </w:t>
      </w:r>
      <w:r w:rsidRPr="00BF0264">
        <w:rPr>
          <w:rFonts w:cs="Arial"/>
        </w:rPr>
        <w:lastRenderedPageBreak/>
        <w:t>undertake ‘safety work’, much of which serves to limit their freedom. She raises the critical question of whether women are required – and expected</w:t>
      </w:r>
      <w:r w:rsidR="007D3A7F" w:rsidRPr="00BF0264">
        <w:rPr>
          <w:rFonts w:cs="Arial"/>
        </w:rPr>
        <w:t xml:space="preserve"> </w:t>
      </w:r>
      <w:r w:rsidRPr="00BF0264">
        <w:rPr>
          <w:rFonts w:cs="Arial"/>
        </w:rPr>
        <w:t>– to trade freedom for safety: an enquiry which surely also applies to domestic violence.</w:t>
      </w:r>
    </w:p>
    <w:p w14:paraId="191539E1" w14:textId="2671F6EE" w:rsidR="00287734" w:rsidRPr="00BF0264" w:rsidRDefault="00287734" w:rsidP="00D00FFA">
      <w:pPr>
        <w:pStyle w:val="NoSpacing"/>
        <w:spacing w:line="480" w:lineRule="auto"/>
        <w:ind w:firstLine="720"/>
      </w:pPr>
      <w:r w:rsidRPr="00BF0264">
        <w:rPr>
          <w:rFonts w:cs="Arial"/>
        </w:rPr>
        <w:t xml:space="preserve">Walby and Towers’ </w:t>
      </w:r>
      <w:r w:rsidR="005F31FC" w:rsidRPr="00BF0264">
        <w:rPr>
          <w:rFonts w:cs="Arial"/>
        </w:rPr>
        <w:t xml:space="preserve">(2018) </w:t>
      </w:r>
      <w:r w:rsidRPr="00BF0264">
        <w:rPr>
          <w:rFonts w:cs="Arial"/>
        </w:rPr>
        <w:t xml:space="preserve">argument against coercive control as a single course of conduct is made in several ways, including that in law abuse is treated as ‘repeated crimes’. The irony here is that this has </w:t>
      </w:r>
      <w:r w:rsidR="005F31FC" w:rsidRPr="00BF0264">
        <w:rPr>
          <w:rFonts w:cs="Arial"/>
        </w:rPr>
        <w:t>not traditionally</w:t>
      </w:r>
      <w:r w:rsidRPr="00BF0264">
        <w:rPr>
          <w:rFonts w:cs="Arial"/>
        </w:rPr>
        <w:t xml:space="preserve"> been the case in relation to the criminal justice response to domestic violence</w:t>
      </w:r>
      <w:r w:rsidR="004C4704" w:rsidRPr="00BF0264">
        <w:rPr>
          <w:rFonts w:cs="Arial"/>
        </w:rPr>
        <w:t>:</w:t>
      </w:r>
      <w:r w:rsidRPr="00BF0264">
        <w:rPr>
          <w:rFonts w:cs="Arial"/>
        </w:rPr>
        <w:t xml:space="preserve"> it is generally the most recent incident that results in</w:t>
      </w:r>
      <w:r w:rsidR="004C4704" w:rsidRPr="00BF0264">
        <w:rPr>
          <w:rFonts w:cs="Arial"/>
        </w:rPr>
        <w:t xml:space="preserve"> police intervention and charge. M</w:t>
      </w:r>
      <w:r w:rsidRPr="00BF0264">
        <w:rPr>
          <w:rFonts w:cs="Arial"/>
        </w:rPr>
        <w:t xml:space="preserve">ost ‘crimes’ are neither charged nor prosecuted (Hester, 2006). The limits of violent crime as a framing have, therefore, been evident in domestic violence (and child sexual abuse) prosecutions for decades, with charges relating to specific events </w:t>
      </w:r>
      <w:r w:rsidR="00891CDE" w:rsidRPr="00BF0264">
        <w:rPr>
          <w:rFonts w:cs="Arial"/>
        </w:rPr>
        <w:t>and</w:t>
      </w:r>
      <w:r w:rsidRPr="00BF0264">
        <w:rPr>
          <w:rFonts w:cs="Arial"/>
        </w:rPr>
        <w:t xml:space="preserve"> the course of conduct rarely introduced evidentially or in sentencing</w:t>
      </w:r>
      <w:r w:rsidR="00891CDE" w:rsidRPr="00BF0264">
        <w:rPr>
          <w:rFonts w:cs="Arial"/>
        </w:rPr>
        <w:t>. As an aside</w:t>
      </w:r>
      <w:r w:rsidRPr="00BF0264">
        <w:rPr>
          <w:rFonts w:cs="Arial"/>
        </w:rPr>
        <w:t xml:space="preserve"> </w:t>
      </w:r>
      <w:r w:rsidR="00891CDE" w:rsidRPr="00BF0264">
        <w:rPr>
          <w:rFonts w:cs="Arial"/>
        </w:rPr>
        <w:t xml:space="preserve">they recognise </w:t>
      </w:r>
      <w:r w:rsidRPr="00BF0264">
        <w:rPr>
          <w:rFonts w:cs="Arial"/>
        </w:rPr>
        <w:t>that there is an exception in the legal processing of stalking (Walby and Towers, 2018:8)</w:t>
      </w:r>
      <w:r w:rsidR="004C4704" w:rsidRPr="00BF0264">
        <w:rPr>
          <w:rFonts w:cs="Arial"/>
        </w:rPr>
        <w:t>,</w:t>
      </w:r>
      <w:r w:rsidR="00891CDE" w:rsidRPr="00BF0264">
        <w:rPr>
          <w:rFonts w:cs="Arial"/>
        </w:rPr>
        <w:t xml:space="preserve"> but not</w:t>
      </w:r>
      <w:r w:rsidRPr="00BF0264">
        <w:rPr>
          <w:rFonts w:cs="Arial"/>
        </w:rPr>
        <w:t xml:space="preserve"> that this established an important principle linked to feminist perspectives that many violence against women offences do not fi</w:t>
      </w:r>
      <w:r w:rsidR="002F3E58" w:rsidRPr="00BF0264">
        <w:rPr>
          <w:rFonts w:cs="Arial"/>
        </w:rPr>
        <w:t>t the model of assault which h</w:t>
      </w:r>
      <w:r w:rsidRPr="00BF0264">
        <w:rPr>
          <w:rFonts w:cs="Arial"/>
        </w:rPr>
        <w:t>as</w:t>
      </w:r>
      <w:r w:rsidR="002F3E58" w:rsidRPr="00BF0264">
        <w:rPr>
          <w:rFonts w:cs="Arial"/>
        </w:rPr>
        <w:t xml:space="preserve"> been</w:t>
      </w:r>
      <w:r w:rsidRPr="00BF0264">
        <w:rPr>
          <w:rFonts w:cs="Arial"/>
        </w:rPr>
        <w:t xml:space="preserve"> embedded in law for centuries: that it occurs </w:t>
      </w:r>
      <w:r w:rsidR="006464F9" w:rsidRPr="00BF0264">
        <w:rPr>
          <w:rFonts w:cs="Arial"/>
        </w:rPr>
        <w:t xml:space="preserve">randomly </w:t>
      </w:r>
      <w:r w:rsidRPr="00BF0264">
        <w:rPr>
          <w:rFonts w:cs="Arial"/>
        </w:rPr>
        <w:t>between two marginally connected men in the public sphere</w:t>
      </w:r>
      <w:r w:rsidR="00AB5CFD" w:rsidRPr="00BF0264">
        <w:rPr>
          <w:rFonts w:cs="Arial"/>
        </w:rPr>
        <w:t>.</w:t>
      </w:r>
    </w:p>
    <w:p w14:paraId="5E5A2AC8" w14:textId="021F0BC7" w:rsidR="00287734" w:rsidRPr="00BF0264" w:rsidRDefault="00DD2D70" w:rsidP="00D00FFA">
      <w:pPr>
        <w:pStyle w:val="NoSpacing"/>
        <w:spacing w:line="480" w:lineRule="auto"/>
        <w:ind w:firstLine="720"/>
      </w:pPr>
      <w:r w:rsidRPr="00BF0264">
        <w:t xml:space="preserve">There is a long history of contestation about findings from sample surveys, both in terms of whether what is being measured is the same as the cases dealt with in practice, and the gender symmetrical nature of </w:t>
      </w:r>
      <w:r w:rsidR="005F31FC" w:rsidRPr="00BF0264">
        <w:t xml:space="preserve">some </w:t>
      </w:r>
      <w:r w:rsidRPr="00BF0264">
        <w:t xml:space="preserve">prevalence estimates. </w:t>
      </w:r>
      <w:r w:rsidR="00287734" w:rsidRPr="00BF0264">
        <w:t xml:space="preserve">Walby and Towers deal with the latter primarily through ‘uncapping’ frequency data to count repeated acts of physical violence, but side step the former through an invocation of a pattern of escalation. The positions of </w:t>
      </w:r>
      <w:r w:rsidR="00891CDE" w:rsidRPr="00BF0264">
        <w:t xml:space="preserve">Stark (2007) and </w:t>
      </w:r>
      <w:r w:rsidR="00287734" w:rsidRPr="00BF0264">
        <w:t xml:space="preserve">Johnson </w:t>
      </w:r>
      <w:r w:rsidR="00891CDE" w:rsidRPr="00BF0264">
        <w:t>(2008)</w:t>
      </w:r>
      <w:r w:rsidR="00287734" w:rsidRPr="00BF0264">
        <w:t xml:space="preserve"> – that prevalence surveys count </w:t>
      </w:r>
      <w:r w:rsidRPr="00BF0264">
        <w:t xml:space="preserve">some </w:t>
      </w:r>
      <w:r w:rsidR="00287734" w:rsidRPr="00BF0264">
        <w:t>situational acts of violence w</w:t>
      </w:r>
      <w:r w:rsidR="005F31FC" w:rsidRPr="00BF0264">
        <w:t>hich are not part of ongoing</w:t>
      </w:r>
      <w:r w:rsidR="00287734" w:rsidRPr="00BF0264">
        <w:t xml:space="preserve"> coercive control</w:t>
      </w:r>
      <w:r w:rsidRPr="00BF0264">
        <w:t xml:space="preserve"> </w:t>
      </w:r>
      <w:r w:rsidR="00287734" w:rsidRPr="00BF0264">
        <w:t xml:space="preserve">– are dismissed through claiming that there is probably an underlying pattern of escalation in physical assaults. </w:t>
      </w:r>
      <w:r w:rsidR="00147E36" w:rsidRPr="00BF0264">
        <w:t>While</w:t>
      </w:r>
      <w:r w:rsidR="00287734" w:rsidRPr="00BF0264">
        <w:t xml:space="preserve"> this is undoubtedly the case in some instances, it is not as straightforward as suggested and the current </w:t>
      </w:r>
      <w:proofErr w:type="spellStart"/>
      <w:r w:rsidR="00287734" w:rsidRPr="00BF0264">
        <w:t>CSEW</w:t>
      </w:r>
      <w:proofErr w:type="spellEnd"/>
      <w:r w:rsidR="00287734" w:rsidRPr="00BF0264">
        <w:t xml:space="preserve"> does not generate data which allows patterns over time to be established. Neither would Walby and Towers’ proposed </w:t>
      </w:r>
      <w:r w:rsidR="00147E36" w:rsidRPr="00BF0264">
        <w:t>module</w:t>
      </w:r>
      <w:r w:rsidR="00287734" w:rsidRPr="00BF0264">
        <w:t xml:space="preserve">, if it were placed in a survey without a longitudinal panel design. We have seen plenty of examples in practice </w:t>
      </w:r>
      <w:r w:rsidR="00287734" w:rsidRPr="00BF0264">
        <w:lastRenderedPageBreak/>
        <w:t>where non-physic</w:t>
      </w:r>
      <w:r w:rsidR="004C4704" w:rsidRPr="00BF0264">
        <w:t xml:space="preserve">al </w:t>
      </w:r>
      <w:r w:rsidR="007079CE" w:rsidRPr="00BF0264">
        <w:t>coercion</w:t>
      </w:r>
      <w:r w:rsidR="004C4704" w:rsidRPr="00BF0264">
        <w:t xml:space="preserve"> has escalated, while</w:t>
      </w:r>
      <w:r w:rsidR="00287734" w:rsidRPr="00BF0264">
        <w:t xml:space="preserve"> physical assaults taper off. There are also cases where there are escalating/extreme levels of non-physical coercion and l</w:t>
      </w:r>
      <w:r w:rsidR="00147E36" w:rsidRPr="00BF0264">
        <w:t xml:space="preserve">ittle or no physical violence. </w:t>
      </w:r>
      <w:r w:rsidR="00287734" w:rsidRPr="00BF0264">
        <w:t>Furthermore, three studies of domestic homicides in the UK (</w:t>
      </w:r>
      <w:proofErr w:type="spellStart"/>
      <w:r w:rsidR="00287734" w:rsidRPr="00BF0264">
        <w:t>Dobash</w:t>
      </w:r>
      <w:proofErr w:type="spellEnd"/>
      <w:r w:rsidR="00287734" w:rsidRPr="00BF0264">
        <w:t xml:space="preserve"> and </w:t>
      </w:r>
      <w:proofErr w:type="spellStart"/>
      <w:r w:rsidR="00287734" w:rsidRPr="00BF0264">
        <w:t>Dobash</w:t>
      </w:r>
      <w:proofErr w:type="spellEnd"/>
      <w:r w:rsidR="00287734" w:rsidRPr="00BF0264">
        <w:t>, 2015; Regan et al</w:t>
      </w:r>
      <w:r w:rsidR="00147E36" w:rsidRPr="00BF0264">
        <w:t>., 2007; Sharp-</w:t>
      </w:r>
      <w:proofErr w:type="spellStart"/>
      <w:r w:rsidR="00287734" w:rsidRPr="00BF0264">
        <w:t>Jeffs</w:t>
      </w:r>
      <w:proofErr w:type="spellEnd"/>
      <w:r w:rsidR="00287734" w:rsidRPr="00BF0264">
        <w:t xml:space="preserve"> and Kelly, 2016) all showed that there are a minority of cases, possibly up to a third, where there is no record or knowledge of physical assaults, but </w:t>
      </w:r>
      <w:r w:rsidR="00147E36" w:rsidRPr="00BF0264">
        <w:t xml:space="preserve">where </w:t>
      </w:r>
      <w:r w:rsidR="00287734" w:rsidRPr="00BF0264">
        <w:t>there has been significant and ongoing controlling behaviour and ‘jealous surveillance’</w:t>
      </w:r>
      <w:r w:rsidR="007079CE" w:rsidRPr="00BF0264">
        <w:t xml:space="preserve"> (see also Stark and Hester, 2019)</w:t>
      </w:r>
      <w:r w:rsidR="00287734" w:rsidRPr="00BF0264">
        <w:t xml:space="preserve">. For us, the escalation thesis Walby and Towers propose represents an unwarranted extrapolation from survey data: </w:t>
      </w:r>
      <w:proofErr w:type="spellStart"/>
      <w:r w:rsidR="00287734" w:rsidRPr="00BF0264">
        <w:t>CSEW</w:t>
      </w:r>
      <w:proofErr w:type="spellEnd"/>
      <w:r w:rsidR="00287734" w:rsidRPr="00BF0264">
        <w:t xml:space="preserve"> data is simply not detailed or sophisticated enough to trace changes in patterns of abuse over time</w:t>
      </w:r>
      <w:r w:rsidR="00112EE4" w:rsidRPr="00BF0264">
        <w:t>, nor can</w:t>
      </w:r>
      <w:r w:rsidR="00287734" w:rsidRPr="00BF0264">
        <w:t xml:space="preserve"> cross-sectional data show escalation in individual cases. How do we know what happened to that person the previous</w:t>
      </w:r>
      <w:r w:rsidR="002F3E58" w:rsidRPr="00BF0264">
        <w:t xml:space="preserve"> year, or the year after? While</w:t>
      </w:r>
      <w:r w:rsidR="00287734" w:rsidRPr="00BF0264">
        <w:t xml:space="preserve"> the theory of escalating physical violen</w:t>
      </w:r>
      <w:r w:rsidR="008E4218" w:rsidRPr="00BF0264">
        <w:t>ce allows the</w:t>
      </w:r>
      <w:r w:rsidR="00287734" w:rsidRPr="00BF0264">
        <w:t xml:space="preserve"> squaring of a circle, it does not have empirical support</w:t>
      </w:r>
      <w:r w:rsidR="00112EE4" w:rsidRPr="00BF0264">
        <w:t>.</w:t>
      </w:r>
    </w:p>
    <w:p w14:paraId="434A787E" w14:textId="02A55DA9" w:rsidR="00287734" w:rsidRPr="00BF0264" w:rsidRDefault="00287734" w:rsidP="00D00FFA">
      <w:pPr>
        <w:pStyle w:val="NoSpacing"/>
        <w:spacing w:line="480" w:lineRule="auto"/>
      </w:pPr>
      <w:r w:rsidRPr="00BF0264">
        <w:tab/>
        <w:t xml:space="preserve">Walby and Towers (2018:5) are dismissive of efforts to </w:t>
      </w:r>
      <w:r w:rsidR="002F3E58" w:rsidRPr="00BF0264">
        <w:t>measure coercive control, while</w:t>
      </w:r>
      <w:r w:rsidRPr="00BF0264">
        <w:t xml:space="preserve"> failing to reference, let alone discuss, the ways in which thi</w:t>
      </w:r>
      <w:r w:rsidR="002F3E58" w:rsidRPr="00BF0264">
        <w:t xml:space="preserve">s has actually been done. </w:t>
      </w:r>
      <w:r w:rsidR="006464F9" w:rsidRPr="00BF0264">
        <w:t>While not a prevalence survey, Sharp-</w:t>
      </w:r>
      <w:proofErr w:type="spellStart"/>
      <w:r w:rsidR="006464F9" w:rsidRPr="00BF0264">
        <w:t>Jeffs</w:t>
      </w:r>
      <w:proofErr w:type="spellEnd"/>
      <w:r w:rsidR="006464F9" w:rsidRPr="00BF0264">
        <w:t xml:space="preserve"> et al</w:t>
      </w:r>
      <w:r w:rsidR="00E24E8F" w:rsidRPr="00BF0264">
        <w:t>.</w:t>
      </w:r>
      <w:r w:rsidR="006464F9" w:rsidRPr="00BF0264">
        <w:t xml:space="preserve"> (2018) developed a coercive control scale, linked to a Space for Action Scale, both of which have been tested statistically and shown to have internal validity. </w:t>
      </w:r>
      <w:r w:rsidR="002F3E58" w:rsidRPr="00BF0264">
        <w:t>Walby and Towers</w:t>
      </w:r>
      <w:r w:rsidRPr="00BF0264">
        <w:t xml:space="preserve"> refer to Myhill (2015) </w:t>
      </w:r>
      <w:r w:rsidR="002F3E58" w:rsidRPr="00BF0264">
        <w:t xml:space="preserve">to show </w:t>
      </w:r>
      <w:r w:rsidRPr="00BF0264">
        <w:t xml:space="preserve">that current </w:t>
      </w:r>
      <w:proofErr w:type="spellStart"/>
      <w:r w:rsidRPr="00BF0264">
        <w:t>CSEW</w:t>
      </w:r>
      <w:proofErr w:type="spellEnd"/>
      <w:r w:rsidRPr="00BF0264">
        <w:t xml:space="preserve"> data is inadequate with respect to coercive control, but not the fact that this </w:t>
      </w:r>
      <w:r w:rsidR="002F3E58" w:rsidRPr="00BF0264">
        <w:t xml:space="preserve">analysis </w:t>
      </w:r>
      <w:r w:rsidRPr="00BF0264">
        <w:t xml:space="preserve">was </w:t>
      </w:r>
      <w:r w:rsidR="002F3E58" w:rsidRPr="00BF0264">
        <w:t>conceived</w:t>
      </w:r>
      <w:r w:rsidRPr="00BF0264">
        <w:t xml:space="preserve"> as a challenge to improve mea</w:t>
      </w:r>
      <w:r w:rsidR="00CE7C18" w:rsidRPr="00BF0264">
        <w:t xml:space="preserve">surement in this respect. </w:t>
      </w:r>
    </w:p>
    <w:p w14:paraId="0554EA80" w14:textId="7A99118D" w:rsidR="00287734" w:rsidRPr="00BF0264" w:rsidRDefault="00287734" w:rsidP="00D00FFA">
      <w:pPr>
        <w:pStyle w:val="NoSpacing"/>
        <w:spacing w:line="480" w:lineRule="auto"/>
        <w:ind w:firstLine="720"/>
      </w:pPr>
      <w:r w:rsidRPr="00BF0264">
        <w:t xml:space="preserve">In sum, our reading of qualitative data from multiple projects, including ones we have worked on ourselves, suggests that there is no single pattern of domestic violence over time. To position escalation of physical violence as evidence of increasing danger, </w:t>
      </w:r>
      <w:r w:rsidR="000A6515" w:rsidRPr="00BF0264">
        <w:t xml:space="preserve">as Walby and Towers (2018) do in their critique of police risk assessment, </w:t>
      </w:r>
      <w:r w:rsidRPr="00BF0264">
        <w:t xml:space="preserve">runs the risk of cases where this not the case, but </w:t>
      </w:r>
      <w:r w:rsidR="000A6515" w:rsidRPr="00BF0264">
        <w:t>where</w:t>
      </w:r>
      <w:r w:rsidRPr="00BF0264">
        <w:t xml:space="preserve"> victims have a heightened sense of danger, being downgraded. </w:t>
      </w:r>
      <w:r w:rsidR="002F3E58" w:rsidRPr="00BF0264">
        <w:t>A</w:t>
      </w:r>
      <w:r w:rsidRPr="00BF0264">
        <w:t xml:space="preserve"> numb</w:t>
      </w:r>
      <w:r w:rsidR="002F3E58" w:rsidRPr="00BF0264">
        <w:t>er of domestic homicide reviews have concluded</w:t>
      </w:r>
      <w:r w:rsidRPr="00BF0264">
        <w:t xml:space="preserve"> that women’s sense of heightened danger was not taken seriously by police and other agencies (</w:t>
      </w:r>
      <w:r w:rsidR="00147E36" w:rsidRPr="00BF0264">
        <w:t>Sharp-</w:t>
      </w:r>
      <w:proofErr w:type="spellStart"/>
      <w:r w:rsidRPr="00BF0264">
        <w:t>Jeffs</w:t>
      </w:r>
      <w:proofErr w:type="spellEnd"/>
      <w:r w:rsidRPr="00BF0264">
        <w:t xml:space="preserve"> and Kelly, 2016). For us, the fundamental question of what </w:t>
      </w:r>
      <w:r w:rsidRPr="00BF0264">
        <w:lastRenderedPageBreak/>
        <w:t xml:space="preserve">we are really measuring – any incident in any context, or an ongoing pattern </w:t>
      </w:r>
      <w:r w:rsidR="00162F98" w:rsidRPr="00BF0264">
        <w:t xml:space="preserve">of coercion </w:t>
      </w:r>
      <w:r w:rsidRPr="00BF0264">
        <w:t xml:space="preserve">which entraps and limits women and children’s freedom – is evaded across Walby and colleagues’ several recent publications. </w:t>
      </w:r>
      <w:r w:rsidR="000A794C" w:rsidRPr="00BF0264">
        <w:t>Counting</w:t>
      </w:r>
      <w:r w:rsidRPr="00BF0264">
        <w:t xml:space="preserve"> is not the same as understanding.</w:t>
      </w:r>
    </w:p>
    <w:p w14:paraId="25B4F237" w14:textId="77777777" w:rsidR="00287734" w:rsidRPr="00BF0264" w:rsidRDefault="00287734" w:rsidP="00D00FFA">
      <w:pPr>
        <w:pStyle w:val="NoSpacing"/>
        <w:spacing w:line="480" w:lineRule="auto"/>
        <w:rPr>
          <w:i/>
        </w:rPr>
      </w:pPr>
    </w:p>
    <w:p w14:paraId="29BCE6EC" w14:textId="77777777" w:rsidR="00287734" w:rsidRPr="00BF0264" w:rsidRDefault="00287734" w:rsidP="00D00FFA">
      <w:pPr>
        <w:pStyle w:val="NoSpacing"/>
        <w:spacing w:line="480" w:lineRule="auto"/>
        <w:rPr>
          <w:i/>
        </w:rPr>
      </w:pPr>
      <w:r w:rsidRPr="00BF0264">
        <w:rPr>
          <w:i/>
        </w:rPr>
        <w:t>Violence and harm: The utility of ‘domestic violent crime’</w:t>
      </w:r>
      <w:r w:rsidRPr="00BF0264">
        <w:rPr>
          <w:rStyle w:val="FootnoteReference"/>
          <w:i/>
        </w:rPr>
        <w:footnoteReference w:id="2"/>
      </w:r>
    </w:p>
    <w:p w14:paraId="4EF3B563" w14:textId="77777777" w:rsidR="00287734" w:rsidRPr="00BF0264" w:rsidRDefault="00287734" w:rsidP="00D00FFA">
      <w:pPr>
        <w:pStyle w:val="NoSpacing"/>
        <w:spacing w:line="480" w:lineRule="auto"/>
      </w:pPr>
      <w:r w:rsidRPr="00BF0264">
        <w:t>We have suggested that coercive control enables a more complete theorisation of women’s experiences of abuse from intimate partners. Walby and Towers’ concept of domestic violent crime may appeal in its apparent simplicity for measurement, but do claims made about the utility of crime categories stand up to scrutiny?</w:t>
      </w:r>
    </w:p>
    <w:p w14:paraId="76828601" w14:textId="1247CAD1" w:rsidR="00287734" w:rsidRPr="00BF0264" w:rsidRDefault="00287734" w:rsidP="00D00FFA">
      <w:pPr>
        <w:pStyle w:val="NoSpacing"/>
        <w:spacing w:line="480" w:lineRule="auto"/>
        <w:ind w:firstLine="720"/>
      </w:pPr>
      <w:r w:rsidRPr="00BF0264">
        <w:t xml:space="preserve">While we agree that accurate measurement of physical violence is a good thing, we do not support the argument that acts of physical violence that reach a criminal threshold equate by definition with either intention or harm. From an evidential standpoint, the </w:t>
      </w:r>
      <w:proofErr w:type="spellStart"/>
      <w:r w:rsidRPr="00BF0264">
        <w:rPr>
          <w:i/>
        </w:rPr>
        <w:t>mens</w:t>
      </w:r>
      <w:proofErr w:type="spellEnd"/>
      <w:r w:rsidRPr="00BF0264">
        <w:rPr>
          <w:i/>
        </w:rPr>
        <w:t xml:space="preserve"> rea</w:t>
      </w:r>
      <w:r w:rsidRPr="00BF0264">
        <w:t xml:space="preserve"> of assault (the intention or knowledge of wrongdoing that constitutes an element of a crime) is that it ‘must be committed intentionally or </w:t>
      </w:r>
      <w:r w:rsidRPr="00BF0264">
        <w:rPr>
          <w:i/>
        </w:rPr>
        <w:t>recklessly’</w:t>
      </w:r>
      <w:r w:rsidRPr="00BF0264">
        <w:t xml:space="preserve"> (</w:t>
      </w:r>
      <w:proofErr w:type="spellStart"/>
      <w:r w:rsidRPr="00BF0264">
        <w:t>Ormerod</w:t>
      </w:r>
      <w:proofErr w:type="spellEnd"/>
      <w:r w:rsidRPr="00BF0264">
        <w:t xml:space="preserve"> and Perry, 2017:255, our emphasis). An example observed frequently in police case files is where person A reports having been ‘pushed’ or ‘shoved’ by person B, but B justifies their actions by saying they were only attempting to get away from A, or remove them from their property. Technically a crime of assault has been committed, or a crime of assault occasioning actual bodily harm if A for example trips backwards off a step and sustains a wound of some ki</w:t>
      </w:r>
      <w:r w:rsidR="0054122B" w:rsidRPr="00BF0264">
        <w:t xml:space="preserve">nd. Yet B’s actions accord </w:t>
      </w:r>
      <w:r w:rsidRPr="00BF0264">
        <w:t xml:space="preserve">more with the notion of recklessness (they did not intend to cause harm to A, but they should reasonably have been aware of the possibility of A sustaining an injury if they were to fall as a result of being pushed). </w:t>
      </w:r>
      <w:r w:rsidR="00BF417A" w:rsidRPr="00BF0264">
        <w:t xml:space="preserve">Indeed, in the </w:t>
      </w:r>
      <w:proofErr w:type="spellStart"/>
      <w:r w:rsidR="00BF417A" w:rsidRPr="00BF0264">
        <w:t>CSEW</w:t>
      </w:r>
      <w:proofErr w:type="spellEnd"/>
      <w:r w:rsidR="00BF417A" w:rsidRPr="00BF0264">
        <w:t xml:space="preserve"> a crime of ‘other wounding’ is recorded if injury is inflicted </w:t>
      </w:r>
      <w:r w:rsidR="00147E36" w:rsidRPr="00BF0264">
        <w:t>‘</w:t>
      </w:r>
      <w:r w:rsidR="00BF417A" w:rsidRPr="00BF0264">
        <w:t>unintentionally</w:t>
      </w:r>
      <w:r w:rsidR="00147E36" w:rsidRPr="00BF0264">
        <w:t>’</w:t>
      </w:r>
      <w:r w:rsidR="00BF417A" w:rsidRPr="00BF0264">
        <w:rPr>
          <w:rStyle w:val="FootnoteReference"/>
        </w:rPr>
        <w:footnoteReference w:id="3"/>
      </w:r>
      <w:r w:rsidR="00BF417A" w:rsidRPr="00BF0264">
        <w:t>.</w:t>
      </w:r>
    </w:p>
    <w:p w14:paraId="085BDBEA" w14:textId="4D3887C8" w:rsidR="00287734" w:rsidRPr="00BF0264" w:rsidRDefault="00287734" w:rsidP="00D00FFA">
      <w:pPr>
        <w:pStyle w:val="NoSpacing"/>
        <w:spacing w:line="480" w:lineRule="auto"/>
        <w:ind w:firstLine="720"/>
      </w:pPr>
      <w:r w:rsidRPr="00BF0264">
        <w:t xml:space="preserve">Similarly, the </w:t>
      </w:r>
      <w:proofErr w:type="spellStart"/>
      <w:r w:rsidRPr="00BF0264">
        <w:rPr>
          <w:i/>
        </w:rPr>
        <w:t>actus</w:t>
      </w:r>
      <w:proofErr w:type="spellEnd"/>
      <w:r w:rsidRPr="00BF0264">
        <w:rPr>
          <w:i/>
        </w:rPr>
        <w:t xml:space="preserve"> </w:t>
      </w:r>
      <w:proofErr w:type="spellStart"/>
      <w:proofErr w:type="gramStart"/>
      <w:r w:rsidRPr="00BF0264">
        <w:rPr>
          <w:i/>
        </w:rPr>
        <w:t>reus</w:t>
      </w:r>
      <w:proofErr w:type="spellEnd"/>
      <w:proofErr w:type="gramEnd"/>
      <w:r w:rsidRPr="00BF0264">
        <w:t xml:space="preserve"> of assault (the action which is the constituent element of the crime) is simply ‘conduct which causes the victim to apprehend the imminent application of unlawful force </w:t>
      </w:r>
      <w:r w:rsidRPr="00BF0264">
        <w:lastRenderedPageBreak/>
        <w:t>upon him (sic)’ (</w:t>
      </w:r>
      <w:proofErr w:type="spellStart"/>
      <w:r w:rsidRPr="00BF0264">
        <w:t>Ormerod</w:t>
      </w:r>
      <w:proofErr w:type="spellEnd"/>
      <w:r w:rsidRPr="00BF0264">
        <w:t xml:space="preserve"> and Perry, 2017:253). What is often referred to as ‘common assault’ in English and Welsh law is actually two separate offences: assault and battery. Neither need result in physical injury – unlawful force may for example be applied to c</w:t>
      </w:r>
      <w:r w:rsidR="0054122B" w:rsidRPr="00BF0264">
        <w:t>lothing as opposed to a person.</w:t>
      </w:r>
      <w:r w:rsidRPr="00BF0264">
        <w:t xml:space="preserve"> The extent to which a non-injurious assault necessarily results in emotional harm is also open to question. In fact, Blackstone’s Criminal Practice gives the following example:</w:t>
      </w:r>
    </w:p>
    <w:p w14:paraId="471043C0" w14:textId="77777777" w:rsidR="00287734" w:rsidRPr="00BF0264" w:rsidRDefault="00287734" w:rsidP="00D00FFA">
      <w:pPr>
        <w:pStyle w:val="NoSpacing"/>
        <w:spacing w:line="480" w:lineRule="auto"/>
      </w:pPr>
    </w:p>
    <w:p w14:paraId="5603E8E0" w14:textId="77777777" w:rsidR="00287734" w:rsidRPr="00BF0264" w:rsidRDefault="00287734" w:rsidP="00D00FFA">
      <w:pPr>
        <w:pStyle w:val="NoSpacing"/>
        <w:spacing w:line="480" w:lineRule="auto"/>
        <w:ind w:left="720"/>
      </w:pPr>
      <w:r w:rsidRPr="00BF0264">
        <w:rPr>
          <w:i/>
        </w:rPr>
        <w:t xml:space="preserve">If V [apprehends] the threat of imminent violence, it does not matter whether he is frightened by it. He may relish the opportunity to teach D a lesson, and yet still be regarded as the victim of D’s assault </w:t>
      </w:r>
      <w:r w:rsidRPr="00BF0264">
        <w:t>(</w:t>
      </w:r>
      <w:proofErr w:type="spellStart"/>
      <w:r w:rsidRPr="00BF0264">
        <w:t>Ormerod</w:t>
      </w:r>
      <w:proofErr w:type="spellEnd"/>
      <w:r w:rsidRPr="00BF0264">
        <w:t xml:space="preserve"> and Perry, 2017: 254).</w:t>
      </w:r>
    </w:p>
    <w:p w14:paraId="6F09C831" w14:textId="77777777" w:rsidR="00287734" w:rsidRPr="00BF0264" w:rsidRDefault="00287734" w:rsidP="00D00FFA">
      <w:pPr>
        <w:pStyle w:val="NoSpacing"/>
        <w:spacing w:line="480" w:lineRule="auto"/>
      </w:pPr>
    </w:p>
    <w:p w14:paraId="6551F270" w14:textId="3D15E098" w:rsidR="00287734" w:rsidRPr="00BF0264" w:rsidRDefault="00B371B9" w:rsidP="00D00FFA">
      <w:pPr>
        <w:pStyle w:val="NoSpacing"/>
        <w:spacing w:line="480" w:lineRule="auto"/>
      </w:pPr>
      <w:r w:rsidRPr="00BF0264">
        <w:t>T</w:t>
      </w:r>
      <w:r w:rsidR="00287734" w:rsidRPr="00BF0264">
        <w:t xml:space="preserve">his </w:t>
      </w:r>
      <w:r w:rsidRPr="00BF0264">
        <w:t xml:space="preserve">example </w:t>
      </w:r>
      <w:r w:rsidR="00287734" w:rsidRPr="00BF0264">
        <w:t xml:space="preserve">represents perfectly a primary perpetrator goading his victim over a period of time before she reacts, and </w:t>
      </w:r>
      <w:r w:rsidRPr="00BF0264">
        <w:t>her being presented as the aggressor should the</w:t>
      </w:r>
      <w:r w:rsidR="00287734" w:rsidRPr="00BF0264">
        <w:t xml:space="preserve"> police be</w:t>
      </w:r>
      <w:r w:rsidRPr="00BF0264">
        <w:t>come</w:t>
      </w:r>
      <w:r w:rsidR="00287734" w:rsidRPr="00BF0264">
        <w:t xml:space="preserve"> involved. It is only possible to make sense of what has happened </w:t>
      </w:r>
      <w:r w:rsidRPr="00BF0264">
        <w:t xml:space="preserve">in </w:t>
      </w:r>
      <w:r w:rsidR="00162F98" w:rsidRPr="00BF0264">
        <w:t>such</w:t>
      </w:r>
      <w:r w:rsidRPr="00BF0264">
        <w:t xml:space="preserve"> instances if </w:t>
      </w:r>
      <w:r w:rsidR="00287734" w:rsidRPr="00BF0264">
        <w:t>specific acts are placed in the context of previous events</w:t>
      </w:r>
      <w:r w:rsidRPr="00BF0264">
        <w:t>,</w:t>
      </w:r>
      <w:r w:rsidR="00287734" w:rsidRPr="00BF0264">
        <w:t xml:space="preserve"> and the </w:t>
      </w:r>
      <w:r w:rsidRPr="00BF0264">
        <w:t xml:space="preserve">overall nature of the </w:t>
      </w:r>
      <w:r w:rsidR="00287734" w:rsidRPr="00BF0264">
        <w:t>rel</w:t>
      </w:r>
      <w:r w:rsidR="00162F98" w:rsidRPr="00BF0264">
        <w:t>ationship</w:t>
      </w:r>
      <w:r w:rsidR="00287734" w:rsidRPr="00BF0264">
        <w:t xml:space="preserve">.  </w:t>
      </w:r>
    </w:p>
    <w:p w14:paraId="13CEAF99" w14:textId="1D89A7A9" w:rsidR="00287734" w:rsidRPr="00BF0264" w:rsidRDefault="00287734" w:rsidP="00D00FFA">
      <w:pPr>
        <w:pStyle w:val="NoSpacing"/>
        <w:spacing w:line="480" w:lineRule="auto"/>
        <w:ind w:firstLine="720"/>
      </w:pPr>
      <w:r w:rsidRPr="00BF0264">
        <w:t xml:space="preserve">So while there may be a ‘harm principle’ (see </w:t>
      </w:r>
      <w:proofErr w:type="spellStart"/>
      <w:r w:rsidRPr="00BF0264">
        <w:t>Ormerod</w:t>
      </w:r>
      <w:proofErr w:type="spellEnd"/>
      <w:r w:rsidRPr="00BF0264">
        <w:t xml:space="preserve"> and Laird, 2018:10) in the criminal law – crime is the violation of a moral code, which implies harm – in the absence of physical injury, the notion of ‘harm’ to the victim remains largely subjective. In relation to physical assaults, the only non-physical injury considered by the criminal law is diagnosable psychiatric injury</w:t>
      </w:r>
      <w:r w:rsidR="00147E36" w:rsidRPr="00BF0264">
        <w:t xml:space="preserve">. </w:t>
      </w:r>
      <w:r w:rsidR="000A6515" w:rsidRPr="00BF0264">
        <w:t xml:space="preserve">And although victims in the </w:t>
      </w:r>
      <w:proofErr w:type="spellStart"/>
      <w:r w:rsidR="000A6515" w:rsidRPr="00BF0264">
        <w:t>CSEW</w:t>
      </w:r>
      <w:proofErr w:type="spellEnd"/>
      <w:r w:rsidR="000A6515" w:rsidRPr="00BF0264">
        <w:t xml:space="preserve"> are asked about their </w:t>
      </w:r>
      <w:r w:rsidR="00BF417A" w:rsidRPr="00BF0264">
        <w:t>‘emotional reaction’</w:t>
      </w:r>
      <w:r w:rsidR="000A6515" w:rsidRPr="00BF0264">
        <w:t xml:space="preserve"> the response</w:t>
      </w:r>
      <w:r w:rsidR="00BF417A" w:rsidRPr="00BF0264">
        <w:t xml:space="preserve"> </w:t>
      </w:r>
      <w:r w:rsidR="000A6515" w:rsidRPr="00BF0264">
        <w:t xml:space="preserve">to this question </w:t>
      </w:r>
      <w:r w:rsidR="00BF417A" w:rsidRPr="00BF0264">
        <w:t xml:space="preserve">has no bearing on </w:t>
      </w:r>
      <w:r w:rsidR="000A6515" w:rsidRPr="00BF0264">
        <w:t>the crime classification</w:t>
      </w:r>
      <w:r w:rsidRPr="00BF0264">
        <w:t>. The ‘fear, alarm and distress’ mentioned by Walby and Towers (2018:7) apply only, in relation to domestic violence, to the course of conduct offences of stalking and har</w:t>
      </w:r>
      <w:r w:rsidR="0054122B" w:rsidRPr="00BF0264">
        <w:t xml:space="preserve">assment and coercive control. </w:t>
      </w:r>
      <w:r w:rsidRPr="00BF0264">
        <w:t xml:space="preserve">And both police crime recording in England and Wales and surveys like the </w:t>
      </w:r>
      <w:proofErr w:type="spellStart"/>
      <w:r w:rsidRPr="00BF0264">
        <w:t>CSEW</w:t>
      </w:r>
      <w:proofErr w:type="spellEnd"/>
      <w:r w:rsidRPr="00BF0264">
        <w:t xml:space="preserve"> are </w:t>
      </w:r>
      <w:r w:rsidRPr="00BF0264">
        <w:rPr>
          <w:i/>
        </w:rPr>
        <w:t>prima facie</w:t>
      </w:r>
      <w:r w:rsidR="008E4218" w:rsidRPr="00BF0264">
        <w:t>:</w:t>
      </w:r>
      <w:r w:rsidRPr="00BF0264">
        <w:t xml:space="preserve"> </w:t>
      </w:r>
      <w:r w:rsidR="008E4218" w:rsidRPr="00BF0264">
        <w:t>they</w:t>
      </w:r>
      <w:r w:rsidRPr="00BF0264">
        <w:t xml:space="preserve"> rely on the interpretation of the person reporting. It follows that not all physical violence reported either to the police or to surveys necessarily results in harm to the victim. Qualitative research with perpetrators of domestic violence (see for example </w:t>
      </w:r>
      <w:proofErr w:type="spellStart"/>
      <w:r w:rsidRPr="00BF0264">
        <w:t>Dobash</w:t>
      </w:r>
      <w:proofErr w:type="spellEnd"/>
      <w:r w:rsidRPr="00BF0264">
        <w:t xml:space="preserve"> and </w:t>
      </w:r>
      <w:proofErr w:type="spellStart"/>
      <w:r w:rsidRPr="00BF0264">
        <w:t>Dobash</w:t>
      </w:r>
      <w:proofErr w:type="spellEnd"/>
      <w:r w:rsidRPr="00BF0264">
        <w:t xml:space="preserve">, 2004), and even with men presenting as victims (Hester at al., 2017), provides </w:t>
      </w:r>
      <w:r w:rsidRPr="00BF0264">
        <w:lastRenderedPageBreak/>
        <w:t xml:space="preserve">numerous examples of men acknowledging their partner’s violent acts had little or no impact on their physical or emotional wellbeing. Aligning survey measurement to crime categories, then, while neat in theory, is not entirely straightforward in practice. </w:t>
      </w:r>
    </w:p>
    <w:p w14:paraId="7B332C30" w14:textId="77777777" w:rsidR="00287734" w:rsidRPr="00BF0264" w:rsidRDefault="00287734" w:rsidP="00D00FFA">
      <w:pPr>
        <w:pStyle w:val="NoSpacing"/>
        <w:spacing w:line="480" w:lineRule="auto"/>
      </w:pPr>
    </w:p>
    <w:p w14:paraId="753322B3" w14:textId="77777777" w:rsidR="00287734" w:rsidRPr="00BF0264" w:rsidRDefault="00287734" w:rsidP="00D00FFA">
      <w:pPr>
        <w:pStyle w:val="NoSpacing"/>
        <w:spacing w:line="480" w:lineRule="auto"/>
        <w:rPr>
          <w:i/>
        </w:rPr>
      </w:pPr>
      <w:r w:rsidRPr="00BF0264">
        <w:rPr>
          <w:i/>
        </w:rPr>
        <w:t>Measuring violence to end violence?</w:t>
      </w:r>
    </w:p>
    <w:p w14:paraId="45C71135" w14:textId="65B14556" w:rsidR="00287734" w:rsidRPr="00BF0264" w:rsidRDefault="00287734" w:rsidP="00D00FFA">
      <w:pPr>
        <w:spacing w:after="0" w:line="480" w:lineRule="auto"/>
        <w:rPr>
          <w:rFonts w:cs="Arial"/>
        </w:rPr>
      </w:pPr>
      <w:r w:rsidRPr="00BF0264">
        <w:rPr>
          <w:rFonts w:cs="Arial"/>
        </w:rPr>
        <w:t>Walby and Towers’ (2017) paper makes the claim in its title that measuring violence is a route to ending violence. This goal, they argue, is to be achieved through a theory of change that links ‘identifiable actions in causal pathways’ (Walby and Towers, 2017:12)</w:t>
      </w:r>
      <w:r w:rsidR="00F93442" w:rsidRPr="00BF0264">
        <w:rPr>
          <w:rFonts w:cs="Arial"/>
        </w:rPr>
        <w:t>, clearly intimating an intention to test theory using survey and criminal justice data</w:t>
      </w:r>
      <w:r w:rsidRPr="00BF0264">
        <w:rPr>
          <w:rFonts w:cs="Arial"/>
        </w:rPr>
        <w:t>. Aside from whether the</w:t>
      </w:r>
      <w:r w:rsidR="00B371B9" w:rsidRPr="00BF0264">
        <w:rPr>
          <w:rFonts w:cs="Arial"/>
        </w:rPr>
        <w:t>ir</w:t>
      </w:r>
      <w:r w:rsidRPr="00BF0264">
        <w:rPr>
          <w:rFonts w:cs="Arial"/>
        </w:rPr>
        <w:t xml:space="preserve"> </w:t>
      </w:r>
      <w:r w:rsidR="008E4218" w:rsidRPr="00BF0264">
        <w:rPr>
          <w:rFonts w:cs="Arial"/>
        </w:rPr>
        <w:t xml:space="preserve">proposed </w:t>
      </w:r>
      <w:r w:rsidR="006464F9" w:rsidRPr="00BF0264">
        <w:rPr>
          <w:rFonts w:cs="Arial"/>
        </w:rPr>
        <w:t>module</w:t>
      </w:r>
      <w:r w:rsidRPr="00BF0264">
        <w:rPr>
          <w:rFonts w:cs="Arial"/>
        </w:rPr>
        <w:t xml:space="preserve"> could offer the depth of information to test explanations, this </w:t>
      </w:r>
      <w:r w:rsidR="00B371B9" w:rsidRPr="00BF0264">
        <w:rPr>
          <w:rFonts w:cs="Arial"/>
        </w:rPr>
        <w:t xml:space="preserve">challenge </w:t>
      </w:r>
      <w:r w:rsidRPr="00BF0264">
        <w:rPr>
          <w:rFonts w:cs="Arial"/>
        </w:rPr>
        <w:t xml:space="preserve">begs the larger question of how data creates change. </w:t>
      </w:r>
      <w:r w:rsidR="00F85F54" w:rsidRPr="00BF0264">
        <w:rPr>
          <w:rFonts w:cs="Arial"/>
        </w:rPr>
        <w:t>Within this and their</w:t>
      </w:r>
      <w:r w:rsidRPr="00BF0264">
        <w:rPr>
          <w:rFonts w:cs="Arial"/>
        </w:rPr>
        <w:t xml:space="preserve"> subsequent 2018 paper the only causal pathway to be explored is women’s economic resources, one the authors </w:t>
      </w:r>
      <w:r w:rsidR="002F3E58" w:rsidRPr="00BF0264">
        <w:rPr>
          <w:rFonts w:cs="Arial"/>
        </w:rPr>
        <w:t>claimed</w:t>
      </w:r>
      <w:r w:rsidRPr="00BF0264">
        <w:rPr>
          <w:rFonts w:cs="Arial"/>
        </w:rPr>
        <w:t xml:space="preserve"> to find support for </w:t>
      </w:r>
      <w:r w:rsidR="0068488D">
        <w:rPr>
          <w:rFonts w:cs="Arial"/>
        </w:rPr>
        <w:t>with</w:t>
      </w:r>
      <w:r w:rsidRPr="00BF0264">
        <w:rPr>
          <w:rFonts w:cs="Arial"/>
        </w:rPr>
        <w:t xml:space="preserve"> their </w:t>
      </w:r>
      <w:r w:rsidR="00F85F54" w:rsidRPr="00BF0264">
        <w:rPr>
          <w:rFonts w:cs="Arial"/>
        </w:rPr>
        <w:t>analysis of three years of</w:t>
      </w:r>
      <w:r w:rsidRPr="00BF0264">
        <w:rPr>
          <w:rFonts w:cs="Arial"/>
        </w:rPr>
        <w:t xml:space="preserve"> </w:t>
      </w:r>
      <w:proofErr w:type="spellStart"/>
      <w:r w:rsidRPr="00BF0264">
        <w:rPr>
          <w:rFonts w:cs="Arial"/>
        </w:rPr>
        <w:t>CSEW</w:t>
      </w:r>
      <w:proofErr w:type="spellEnd"/>
      <w:r w:rsidRPr="00BF0264">
        <w:rPr>
          <w:rFonts w:cs="Arial"/>
        </w:rPr>
        <w:t xml:space="preserve"> data. There is no overall theory of change presented which measurement is linked to, nor </w:t>
      </w:r>
      <w:r w:rsidR="00F93442" w:rsidRPr="00BF0264">
        <w:rPr>
          <w:rFonts w:cs="Arial"/>
        </w:rPr>
        <w:t xml:space="preserve">other </w:t>
      </w:r>
      <w:r w:rsidRPr="00BF0264">
        <w:rPr>
          <w:rFonts w:cs="Arial"/>
        </w:rPr>
        <w:t>causal pathways identified.</w:t>
      </w:r>
    </w:p>
    <w:p w14:paraId="00EBF28D" w14:textId="5F880179" w:rsidR="00287734" w:rsidRPr="00BF0264" w:rsidRDefault="00287734" w:rsidP="00D00FFA">
      <w:pPr>
        <w:spacing w:after="0" w:line="480" w:lineRule="auto"/>
        <w:ind w:firstLine="720"/>
        <w:rPr>
          <w:rFonts w:cs="Arial"/>
        </w:rPr>
      </w:pPr>
      <w:r w:rsidRPr="00BF0264">
        <w:rPr>
          <w:rFonts w:cs="Arial"/>
        </w:rPr>
        <w:t>One of</w:t>
      </w:r>
      <w:r w:rsidR="0054122B" w:rsidRPr="00BF0264">
        <w:rPr>
          <w:rFonts w:cs="Arial"/>
        </w:rPr>
        <w:t xml:space="preserve"> </w:t>
      </w:r>
      <w:r w:rsidR="002F3E58" w:rsidRPr="00BF0264">
        <w:rPr>
          <w:rFonts w:cs="Arial"/>
        </w:rPr>
        <w:t>Walby and colleagues’</w:t>
      </w:r>
      <w:r w:rsidR="0054122B" w:rsidRPr="00BF0264">
        <w:rPr>
          <w:rFonts w:cs="Arial"/>
        </w:rPr>
        <w:t xml:space="preserve"> core propositions is for </w:t>
      </w:r>
      <w:r w:rsidRPr="00BF0264">
        <w:rPr>
          <w:rFonts w:cs="Arial"/>
        </w:rPr>
        <w:t xml:space="preserve">consistency of data collection: </w:t>
      </w:r>
      <w:r w:rsidR="0054122B" w:rsidRPr="00BF0264">
        <w:rPr>
          <w:rFonts w:cs="Arial"/>
        </w:rPr>
        <w:t>‘</w:t>
      </w:r>
      <w:r w:rsidRPr="00BF0264">
        <w:rPr>
          <w:rFonts w:cs="Arial"/>
        </w:rPr>
        <w:t xml:space="preserve">consistency is necessary for the purpose of comparison, which matters for testing </w:t>
      </w:r>
      <w:r w:rsidR="0054122B" w:rsidRPr="00BF0264">
        <w:rPr>
          <w:rFonts w:cs="Arial"/>
        </w:rPr>
        <w:t>theory and evaluation of policy’</w:t>
      </w:r>
      <w:r w:rsidRPr="00BF0264">
        <w:rPr>
          <w:rFonts w:cs="Arial"/>
        </w:rPr>
        <w:t xml:space="preserve"> (</w:t>
      </w:r>
      <w:r w:rsidR="0054122B" w:rsidRPr="00BF0264">
        <w:rPr>
          <w:rFonts w:cs="Arial"/>
        </w:rPr>
        <w:t>Walby and Towers, 2017:</w:t>
      </w:r>
      <w:r w:rsidRPr="00BF0264">
        <w:rPr>
          <w:rFonts w:cs="Arial"/>
        </w:rPr>
        <w:t xml:space="preserve">17). Adoption of their </w:t>
      </w:r>
      <w:r w:rsidR="00B371B9" w:rsidRPr="00BF0264">
        <w:rPr>
          <w:rFonts w:cs="Arial"/>
        </w:rPr>
        <w:t xml:space="preserve">short </w:t>
      </w:r>
      <w:r w:rsidR="006464F9" w:rsidRPr="00BF0264">
        <w:rPr>
          <w:rFonts w:cs="Arial"/>
        </w:rPr>
        <w:t>module</w:t>
      </w:r>
      <w:r w:rsidRPr="00BF0264">
        <w:rPr>
          <w:rFonts w:cs="Arial"/>
        </w:rPr>
        <w:t>, it is claimed</w:t>
      </w:r>
      <w:r w:rsidR="00B371B9" w:rsidRPr="00BF0264">
        <w:rPr>
          <w:rFonts w:cs="Arial"/>
        </w:rPr>
        <w:t>,</w:t>
      </w:r>
      <w:r w:rsidRPr="00BF0264">
        <w:rPr>
          <w:rFonts w:cs="Arial"/>
        </w:rPr>
        <w:t xml:space="preserve"> will allow us to explore variations in locations, groups, policy regimes and social formations</w:t>
      </w:r>
      <w:r w:rsidR="00B371B9" w:rsidRPr="00BF0264">
        <w:rPr>
          <w:rFonts w:cs="Arial"/>
        </w:rPr>
        <w:t xml:space="preserve">; </w:t>
      </w:r>
      <w:r w:rsidRPr="00BF0264">
        <w:rPr>
          <w:rFonts w:cs="Arial"/>
        </w:rPr>
        <w:t>how this is possible without deep contextual knowledge about policy and social formations</w:t>
      </w:r>
      <w:r w:rsidR="00B371B9" w:rsidRPr="00BF0264">
        <w:rPr>
          <w:rFonts w:cs="Arial"/>
        </w:rPr>
        <w:t>,</w:t>
      </w:r>
      <w:r w:rsidRPr="00BF0264">
        <w:rPr>
          <w:rFonts w:cs="Arial"/>
        </w:rPr>
        <w:t xml:space="preserve"> is not addressed. How can de-contextualised data enable contextual comparisons? Data – from surveys and other forms of research – suggest ther</w:t>
      </w:r>
      <w:r w:rsidR="00E24E8F" w:rsidRPr="00BF0264">
        <w:rPr>
          <w:rFonts w:cs="Arial"/>
        </w:rPr>
        <w:t>e is no uni</w:t>
      </w:r>
      <w:r w:rsidRPr="00BF0264">
        <w:rPr>
          <w:rFonts w:cs="Arial"/>
        </w:rPr>
        <w:t xml:space="preserve">directional connection between economic resources and levels of domestic violence. </w:t>
      </w:r>
      <w:r w:rsidR="006E7B11" w:rsidRPr="00BF0264">
        <w:rPr>
          <w:rFonts w:cs="Arial"/>
        </w:rPr>
        <w:t xml:space="preserve">For example, </w:t>
      </w:r>
      <w:r w:rsidRPr="00BF0264">
        <w:rPr>
          <w:rFonts w:cs="Arial"/>
        </w:rPr>
        <w:t xml:space="preserve">work in the global south </w:t>
      </w:r>
      <w:r w:rsidR="006E7B11" w:rsidRPr="00BF0264">
        <w:rPr>
          <w:rFonts w:cs="Arial"/>
        </w:rPr>
        <w:t xml:space="preserve">has shown </w:t>
      </w:r>
      <w:r w:rsidRPr="00BF0264">
        <w:rPr>
          <w:rFonts w:cs="Arial"/>
        </w:rPr>
        <w:t>that increasing women’s economic resources did not lead to the ex</w:t>
      </w:r>
      <w:r w:rsidR="0054122B" w:rsidRPr="00BF0264">
        <w:rPr>
          <w:rFonts w:cs="Arial"/>
        </w:rPr>
        <w:t xml:space="preserve">pected reductions in violence. </w:t>
      </w:r>
      <w:r w:rsidRPr="00BF0264">
        <w:rPr>
          <w:rFonts w:cs="Arial"/>
        </w:rPr>
        <w:t>Indeed</w:t>
      </w:r>
      <w:r w:rsidR="006464F9" w:rsidRPr="00BF0264">
        <w:rPr>
          <w:rFonts w:cs="Arial"/>
        </w:rPr>
        <w:t>,</w:t>
      </w:r>
      <w:r w:rsidRPr="00BF0264">
        <w:rPr>
          <w:rFonts w:cs="Arial"/>
        </w:rPr>
        <w:t xml:space="preserve"> some have argued that the opposite </w:t>
      </w:r>
      <w:r w:rsidR="006C0054" w:rsidRPr="00BF0264">
        <w:rPr>
          <w:rFonts w:cs="Arial"/>
        </w:rPr>
        <w:t>can be</w:t>
      </w:r>
      <w:r w:rsidRPr="00BF0264">
        <w:rPr>
          <w:rFonts w:cs="Arial"/>
        </w:rPr>
        <w:t xml:space="preserve"> the case – increasing women’s economic resources through micro credit schemes </w:t>
      </w:r>
      <w:r w:rsidR="006C0054" w:rsidRPr="00BF0264">
        <w:rPr>
          <w:rFonts w:cs="Arial"/>
        </w:rPr>
        <w:t>increased</w:t>
      </w:r>
      <w:r w:rsidRPr="00BF0264">
        <w:rPr>
          <w:rFonts w:cs="Arial"/>
        </w:rPr>
        <w:t xml:space="preserve"> levels of domestic violence (</w:t>
      </w:r>
      <w:r w:rsidR="006464F9" w:rsidRPr="00BF0264">
        <w:rPr>
          <w:rFonts w:cs="Arial"/>
        </w:rPr>
        <w:t>see for example Rahman, 1999</w:t>
      </w:r>
      <w:r w:rsidR="00974642" w:rsidRPr="00BF0264">
        <w:rPr>
          <w:rFonts w:cs="Arial"/>
        </w:rPr>
        <w:t>)</w:t>
      </w:r>
      <w:r w:rsidR="006C0054" w:rsidRPr="00BF0264">
        <w:rPr>
          <w:rFonts w:cs="Arial"/>
        </w:rPr>
        <w:t>.</w:t>
      </w:r>
      <w:r w:rsidR="006E7B11" w:rsidRPr="00BF0264">
        <w:rPr>
          <w:rFonts w:cs="Arial"/>
        </w:rPr>
        <w:t xml:space="preserve"> </w:t>
      </w:r>
      <w:r w:rsidR="006C0054" w:rsidRPr="00BF0264">
        <w:rPr>
          <w:rFonts w:cs="Arial"/>
        </w:rPr>
        <w:t>T</w:t>
      </w:r>
      <w:r w:rsidR="006E7B11" w:rsidRPr="00BF0264">
        <w:rPr>
          <w:rFonts w:cs="Arial"/>
        </w:rPr>
        <w:t xml:space="preserve">hat interventions were changing the gender relations between women and men, and that men might </w:t>
      </w:r>
      <w:r w:rsidR="006E7B11" w:rsidRPr="00BF0264">
        <w:rPr>
          <w:rFonts w:cs="Arial"/>
        </w:rPr>
        <w:lastRenderedPageBreak/>
        <w:t xml:space="preserve">resist this shift, including through the use of violence, was not </w:t>
      </w:r>
      <w:r w:rsidR="006C0054" w:rsidRPr="00BF0264">
        <w:rPr>
          <w:rFonts w:cs="Arial"/>
        </w:rPr>
        <w:t xml:space="preserve">recognised. </w:t>
      </w:r>
      <w:r w:rsidR="008D12E2" w:rsidRPr="00BF0264">
        <w:rPr>
          <w:rFonts w:cs="Arial"/>
        </w:rPr>
        <w:t xml:space="preserve">We are not of course suggesting that increasing women’s economic independence is not a desirable goal, just that the relationship between economic resources and violence is not straightforward. </w:t>
      </w:r>
      <w:r w:rsidR="00E23038" w:rsidRPr="00BF0264">
        <w:rPr>
          <w:rFonts w:cs="Arial"/>
        </w:rPr>
        <w:t>Recent research on economic abuse</w:t>
      </w:r>
      <w:r w:rsidR="008D12E2" w:rsidRPr="00BF0264">
        <w:rPr>
          <w:rFonts w:cs="Arial"/>
        </w:rPr>
        <w:t>, for example,</w:t>
      </w:r>
      <w:r w:rsidR="00E23038" w:rsidRPr="00BF0264">
        <w:rPr>
          <w:rFonts w:cs="Arial"/>
        </w:rPr>
        <w:t xml:space="preserve"> has shown that when the opportunities for physical assault are reduced through separation, limiting women’s financial resources remains a strategy used by many abusive men: </w:t>
      </w:r>
      <w:r w:rsidR="006C0054" w:rsidRPr="00BF0264">
        <w:rPr>
          <w:rFonts w:cs="Arial"/>
        </w:rPr>
        <w:t>in this instance,</w:t>
      </w:r>
      <w:r w:rsidR="00E23038" w:rsidRPr="00BF0264">
        <w:rPr>
          <w:rFonts w:cs="Arial"/>
        </w:rPr>
        <w:t xml:space="preserve"> </w:t>
      </w:r>
      <w:r w:rsidR="008D12E2" w:rsidRPr="00BF0264">
        <w:rPr>
          <w:rFonts w:cs="Arial"/>
        </w:rPr>
        <w:t>fewer</w:t>
      </w:r>
      <w:r w:rsidR="00E23038" w:rsidRPr="00BF0264">
        <w:rPr>
          <w:rFonts w:cs="Arial"/>
        </w:rPr>
        <w:t xml:space="preserve"> economic resources are associated with less physical violence (Sharp </w:t>
      </w:r>
      <w:proofErr w:type="spellStart"/>
      <w:r w:rsidR="00E23038" w:rsidRPr="00BF0264">
        <w:rPr>
          <w:rFonts w:cs="Arial"/>
        </w:rPr>
        <w:t>Jeffs</w:t>
      </w:r>
      <w:proofErr w:type="spellEnd"/>
      <w:r w:rsidR="00E23038" w:rsidRPr="00BF0264">
        <w:rPr>
          <w:rFonts w:cs="Arial"/>
        </w:rPr>
        <w:t xml:space="preserve"> et al, 2016). </w:t>
      </w:r>
      <w:r w:rsidRPr="00BF0264">
        <w:rPr>
          <w:rFonts w:cs="Arial"/>
        </w:rPr>
        <w:t>Violence</w:t>
      </w:r>
      <w:r w:rsidR="006464F9" w:rsidRPr="00BF0264">
        <w:rPr>
          <w:rFonts w:cs="Arial"/>
        </w:rPr>
        <w:t>, it appears,</w:t>
      </w:r>
      <w:r w:rsidRPr="00BF0264">
        <w:rPr>
          <w:rFonts w:cs="Arial"/>
        </w:rPr>
        <w:t xml:space="preserve"> i</w:t>
      </w:r>
      <w:r w:rsidR="006464F9" w:rsidRPr="00BF0264">
        <w:rPr>
          <w:rFonts w:cs="Arial"/>
        </w:rPr>
        <w:t>s a core</w:t>
      </w:r>
      <w:r w:rsidRPr="00BF0264">
        <w:rPr>
          <w:rFonts w:cs="Arial"/>
        </w:rPr>
        <w:t xml:space="preserve"> and relative</w:t>
      </w:r>
      <w:r w:rsidR="0054122B" w:rsidRPr="00BF0264">
        <w:rPr>
          <w:rFonts w:cs="Arial"/>
        </w:rPr>
        <w:t>ly</w:t>
      </w:r>
      <w:r w:rsidRPr="00BF0264">
        <w:rPr>
          <w:rFonts w:cs="Arial"/>
        </w:rPr>
        <w:t xml:space="preserve"> indep</w:t>
      </w:r>
      <w:r w:rsidR="006464F9" w:rsidRPr="00BF0264">
        <w:rPr>
          <w:rFonts w:cs="Arial"/>
        </w:rPr>
        <w:t>endent</w:t>
      </w:r>
      <w:r w:rsidRPr="00BF0264">
        <w:rPr>
          <w:rFonts w:cs="Arial"/>
        </w:rPr>
        <w:t xml:space="preserve"> pillar of gender orders, as Walby herself </w:t>
      </w:r>
      <w:r w:rsidR="00162F98" w:rsidRPr="00BF0264">
        <w:rPr>
          <w:rFonts w:cs="Arial"/>
        </w:rPr>
        <w:t xml:space="preserve">has </w:t>
      </w:r>
      <w:r w:rsidRPr="00BF0264">
        <w:rPr>
          <w:rFonts w:cs="Arial"/>
        </w:rPr>
        <w:t>argued (Walby, 1994).</w:t>
      </w:r>
    </w:p>
    <w:p w14:paraId="76D173CF" w14:textId="0250E300" w:rsidR="00287734" w:rsidRPr="00BF0264" w:rsidRDefault="00287734" w:rsidP="00D00FFA">
      <w:pPr>
        <w:spacing w:after="0" w:line="480" w:lineRule="auto"/>
        <w:ind w:firstLine="720"/>
        <w:rPr>
          <w:rFonts w:cs="Arial"/>
        </w:rPr>
      </w:pPr>
      <w:r w:rsidRPr="00BF0264">
        <w:rPr>
          <w:rFonts w:cs="Arial"/>
        </w:rPr>
        <w:t xml:space="preserve">It is also the case that the measures of economic resilience used </w:t>
      </w:r>
      <w:r w:rsidR="0054122B" w:rsidRPr="00BF0264">
        <w:rPr>
          <w:rFonts w:cs="Arial"/>
        </w:rPr>
        <w:t>by Walby and Towers are limited;</w:t>
      </w:r>
      <w:r w:rsidRPr="00BF0264">
        <w:rPr>
          <w:rFonts w:cs="Arial"/>
        </w:rPr>
        <w:t xml:space="preserve"> they provide correlations, but whether these constitute causal pathways is debateable. Simply bei</w:t>
      </w:r>
      <w:r w:rsidR="0054122B" w:rsidRPr="00BF0264">
        <w:rPr>
          <w:rFonts w:cs="Arial"/>
        </w:rPr>
        <w:t>ng employed, for example, is no</w:t>
      </w:r>
      <w:r w:rsidRPr="00BF0264">
        <w:rPr>
          <w:rFonts w:cs="Arial"/>
        </w:rPr>
        <w:t xml:space="preserve"> g</w:t>
      </w:r>
      <w:r w:rsidR="00B371B9" w:rsidRPr="00BF0264">
        <w:rPr>
          <w:rFonts w:cs="Arial"/>
        </w:rPr>
        <w:t>uarantee of economic security as</w:t>
      </w:r>
      <w:r w:rsidR="0054122B" w:rsidRPr="00BF0264">
        <w:rPr>
          <w:rFonts w:cs="Arial"/>
        </w:rPr>
        <w:t xml:space="preserve"> s</w:t>
      </w:r>
      <w:r w:rsidRPr="00BF0264">
        <w:rPr>
          <w:rFonts w:cs="Arial"/>
        </w:rPr>
        <w:t xml:space="preserve">ome abusers permit their partner to work, </w:t>
      </w:r>
      <w:r w:rsidR="006464F9" w:rsidRPr="00BF0264">
        <w:rPr>
          <w:rFonts w:cs="Arial"/>
        </w:rPr>
        <w:t>whilst appropriating</w:t>
      </w:r>
      <w:r w:rsidRPr="00BF0264">
        <w:rPr>
          <w:rFonts w:cs="Arial"/>
        </w:rPr>
        <w:t xml:space="preserve"> all or most of their wages (see Sharp-</w:t>
      </w:r>
      <w:proofErr w:type="spellStart"/>
      <w:r w:rsidRPr="00BF0264">
        <w:rPr>
          <w:rFonts w:cs="Arial"/>
        </w:rPr>
        <w:t>Jeffs</w:t>
      </w:r>
      <w:proofErr w:type="spellEnd"/>
      <w:r w:rsidRPr="00BF0264">
        <w:rPr>
          <w:rFonts w:cs="Arial"/>
        </w:rPr>
        <w:t xml:space="preserve">, 2017). Cross sectional survey data is insufficient to disentangle whether lower economic resources increases the rate of domestic violence or whether extricating oneself from abuse results in financial hardship, or if a combination of the two is taking place. Leaving abusive men often reduces financial resources (Walby, 1994), especially if abusive men use the economic as a form of power still available to them: by accruing debts in </w:t>
      </w:r>
      <w:r w:rsidR="00175328" w:rsidRPr="00BF0264">
        <w:rPr>
          <w:rFonts w:cs="Arial"/>
        </w:rPr>
        <w:t>a woma</w:t>
      </w:r>
      <w:r w:rsidRPr="00BF0264">
        <w:rPr>
          <w:rFonts w:cs="Arial"/>
        </w:rPr>
        <w:t>n’s name, failing to pay child maintenance</w:t>
      </w:r>
      <w:r w:rsidR="00F85F54" w:rsidRPr="00BF0264">
        <w:rPr>
          <w:rFonts w:cs="Arial"/>
        </w:rPr>
        <w:t>,</w:t>
      </w:r>
      <w:r w:rsidRPr="00BF0264">
        <w:rPr>
          <w:rFonts w:cs="Arial"/>
        </w:rPr>
        <w:t xml:space="preserve"> and other s</w:t>
      </w:r>
      <w:r w:rsidR="0054122B" w:rsidRPr="00BF0264">
        <w:rPr>
          <w:rFonts w:cs="Arial"/>
        </w:rPr>
        <w:t>trategies (Sharp-</w:t>
      </w:r>
      <w:proofErr w:type="spellStart"/>
      <w:r w:rsidR="0054122B" w:rsidRPr="00BF0264">
        <w:rPr>
          <w:rFonts w:cs="Arial"/>
        </w:rPr>
        <w:t>Jeffs</w:t>
      </w:r>
      <w:proofErr w:type="spellEnd"/>
      <w:r w:rsidR="0054122B" w:rsidRPr="00BF0264">
        <w:rPr>
          <w:rFonts w:cs="Arial"/>
        </w:rPr>
        <w:t xml:space="preserve">, 2017). </w:t>
      </w:r>
      <w:r w:rsidRPr="00BF0264">
        <w:rPr>
          <w:rFonts w:cs="Arial"/>
        </w:rPr>
        <w:t>The extent of economic abuse post separation cann</w:t>
      </w:r>
      <w:r w:rsidR="00F85F54" w:rsidRPr="00BF0264">
        <w:rPr>
          <w:rFonts w:cs="Arial"/>
        </w:rPr>
        <w:t xml:space="preserve">ot be taken into account by </w:t>
      </w:r>
      <w:r w:rsidRPr="00BF0264">
        <w:rPr>
          <w:rFonts w:cs="Arial"/>
        </w:rPr>
        <w:t>Walby and Towers (2018), since it does not fit their measurement framework, but it raises serious questions about the contention that women’s ‘economic resilience’ is the ke</w:t>
      </w:r>
      <w:r w:rsidR="00EC2ACC" w:rsidRPr="00BF0264">
        <w:rPr>
          <w:rFonts w:cs="Arial"/>
        </w:rPr>
        <w:t>y to reducing domestic violence</w:t>
      </w:r>
      <w:r w:rsidRPr="00BF0264">
        <w:rPr>
          <w:rFonts w:cs="Arial"/>
        </w:rPr>
        <w:t xml:space="preserve">. In seeking to link the financial crisis of 2008 to rates of domestic violence over time an argument emerges about women’s economic resilience suggesting changes in domestic violence are caused by changes in the economic resources of victims. There is a danger here in invoking a concept steeped in neo-liberal thinking, that this is yet another, albeit undoubtedly unintended, route through which women can be </w:t>
      </w:r>
      <w:proofErr w:type="spellStart"/>
      <w:r w:rsidRPr="00BF0264">
        <w:rPr>
          <w:rFonts w:cs="Arial"/>
        </w:rPr>
        <w:t>responsibilised</w:t>
      </w:r>
      <w:proofErr w:type="spellEnd"/>
      <w:r w:rsidRPr="00BF0264">
        <w:rPr>
          <w:rFonts w:cs="Arial"/>
        </w:rPr>
        <w:t xml:space="preserve"> for their own</w:t>
      </w:r>
      <w:r w:rsidR="00EC2ACC" w:rsidRPr="00BF0264">
        <w:rPr>
          <w:rFonts w:cs="Arial"/>
        </w:rPr>
        <w:t xml:space="preserve"> safety </w:t>
      </w:r>
      <w:r w:rsidR="00AD6B6B" w:rsidRPr="00BF0264">
        <w:rPr>
          <w:rFonts w:cs="Arial"/>
        </w:rPr>
        <w:t>(Coy and Kelly, forthcoming</w:t>
      </w:r>
      <w:r w:rsidR="00EC2ACC" w:rsidRPr="00BF0264">
        <w:rPr>
          <w:rFonts w:cs="Arial"/>
        </w:rPr>
        <w:t>)</w:t>
      </w:r>
      <w:r w:rsidR="006464F9" w:rsidRPr="00BF0264">
        <w:rPr>
          <w:rFonts w:cs="Arial"/>
        </w:rPr>
        <w:t>, which simultaneously makes perpetrators invisible.</w:t>
      </w:r>
      <w:r w:rsidRPr="00BF0264">
        <w:rPr>
          <w:rFonts w:cs="Arial"/>
        </w:rPr>
        <w:t xml:space="preserve"> </w:t>
      </w:r>
    </w:p>
    <w:p w14:paraId="5C54B0AD" w14:textId="77777777" w:rsidR="00287734" w:rsidRPr="00BF0264" w:rsidRDefault="00287734" w:rsidP="00D00FFA">
      <w:pPr>
        <w:pStyle w:val="NoSpacing"/>
        <w:spacing w:line="480" w:lineRule="auto"/>
      </w:pPr>
    </w:p>
    <w:p w14:paraId="380ACD04" w14:textId="77777777" w:rsidR="00287734" w:rsidRPr="00BF0264" w:rsidRDefault="00287734" w:rsidP="00D00FFA">
      <w:pPr>
        <w:pStyle w:val="NoSpacing"/>
        <w:spacing w:line="480" w:lineRule="auto"/>
        <w:rPr>
          <w:b/>
        </w:rPr>
      </w:pPr>
      <w:r w:rsidRPr="00BF0264">
        <w:rPr>
          <w:b/>
        </w:rPr>
        <w:t>Concluding thoughts</w:t>
      </w:r>
    </w:p>
    <w:p w14:paraId="1167E913" w14:textId="6796C1A8" w:rsidR="00287734" w:rsidRPr="00BF0264" w:rsidRDefault="00287734" w:rsidP="00D00FFA">
      <w:pPr>
        <w:pStyle w:val="NoSpacing"/>
        <w:spacing w:line="480" w:lineRule="auto"/>
      </w:pPr>
      <w:r w:rsidRPr="00BF0264">
        <w:t>We have highlighted what we</w:t>
      </w:r>
      <w:r w:rsidR="008E4218" w:rsidRPr="00BF0264">
        <w:t xml:space="preserve"> see as the limitations of the domestic violent c</w:t>
      </w:r>
      <w:r w:rsidRPr="00BF0264">
        <w:t xml:space="preserve">rime framework for measurement. In aligning a measurement strategy to traditional crime </w:t>
      </w:r>
      <w:r w:rsidR="008E4218" w:rsidRPr="00BF0264">
        <w:t>categories in statute law, the domestic violent c</w:t>
      </w:r>
      <w:r w:rsidRPr="00BF0264">
        <w:t xml:space="preserve">rime model inevitably excludes from consideration </w:t>
      </w:r>
      <w:r w:rsidR="0054122B" w:rsidRPr="00BF0264">
        <w:t>many</w:t>
      </w:r>
      <w:r w:rsidRPr="00BF0264">
        <w:t xml:space="preserve"> of the tactics and behaviours survivors typically say they recognise as abuse. Crime categories, and survey measures derived from them, are always going to be ‘imposed’ to some degree on the complexity of women’s lived experiences of abuse. Qualitative research should be a touchstone in recognising that the gendered nature of domestic violence stretches beyond physical assault, and that harm is not just about physical injury. We also know that acts which are defined as ‘the same’ within criminal law may have a different impact on men and women due to gender hierarchies: both psychological and physical harms are likely to be worse for women. The notion, appealing in theory, that all acts of violence that meet the threshold of a crime necessarily </w:t>
      </w:r>
      <w:r w:rsidR="00AD6B6B" w:rsidRPr="00BF0264">
        <w:t>involve</w:t>
      </w:r>
      <w:r w:rsidRPr="00BF0264">
        <w:t xml:space="preserve"> intent on behalf of the perpetrator and harm to the victim does not stand up to close examination. While physical injury is covered by the criminal law, psychological and emotional harm and fear are not adequately represented. Neither have these harms, or the harms survivors suggest are the most salient to them, such as </w:t>
      </w:r>
      <w:r w:rsidR="00AD6B6B" w:rsidRPr="00BF0264">
        <w:t xml:space="preserve">narrowed </w:t>
      </w:r>
      <w:r w:rsidRPr="00BF0264">
        <w:t xml:space="preserve">‘space for action’, been operationalised in </w:t>
      </w:r>
      <w:r w:rsidRPr="00BF0264">
        <w:rPr>
          <w:i/>
        </w:rPr>
        <w:t>national</w:t>
      </w:r>
      <w:r w:rsidRPr="00BF0264">
        <w:t xml:space="preserve"> population surveys. We have argued that operationalising the concept of coercive control will provi</w:t>
      </w:r>
      <w:r w:rsidR="00966B4A" w:rsidRPr="00BF0264">
        <w:t xml:space="preserve">de a measurement framework </w:t>
      </w:r>
      <w:r w:rsidRPr="00BF0264">
        <w:t xml:space="preserve">true to, and born out of, the lived experiences of </w:t>
      </w:r>
      <w:r w:rsidR="00C7402F" w:rsidRPr="00BF0264">
        <w:t>victim-survivors</w:t>
      </w:r>
      <w:r w:rsidRPr="00BF0264">
        <w:t>.</w:t>
      </w:r>
    </w:p>
    <w:p w14:paraId="5A65307A" w14:textId="203767D1" w:rsidR="00287734" w:rsidRPr="00BF0264" w:rsidRDefault="00287734" w:rsidP="00D00FFA">
      <w:pPr>
        <w:pStyle w:val="NoSpacing"/>
        <w:spacing w:line="480" w:lineRule="auto"/>
      </w:pPr>
      <w:r w:rsidRPr="00BF0264">
        <w:tab/>
      </w:r>
      <w:r w:rsidR="00AD6B6B" w:rsidRPr="00BF0264">
        <w:t xml:space="preserve">We have also highlighted the recent shift in the position of Walby in particular relating to several aspects of the debate on measurement. Whilst not suggesting that academics should maintain their positions on theoretical or empirical issues, </w:t>
      </w:r>
      <w:proofErr w:type="spellStart"/>
      <w:r w:rsidR="00AD6B6B" w:rsidRPr="00BF0264">
        <w:t>Walby’s</w:t>
      </w:r>
      <w:proofErr w:type="spellEnd"/>
      <w:r w:rsidR="00AD6B6B" w:rsidRPr="00BF0264">
        <w:t xml:space="preserve"> apparent shift away from notions of power and control towards a position premised almost entirely on counting discrete acts of vio</w:t>
      </w:r>
      <w:r w:rsidR="006C0054" w:rsidRPr="00BF0264">
        <w:t>lence has multiple implications. While we genuinely appreciate and value the notion of quantitative measurement frameworks, comparable across time and jurisdiction</w:t>
      </w:r>
      <w:r w:rsidR="00340DCA" w:rsidRPr="00BF0264">
        <w:t>,</w:t>
      </w:r>
      <w:r w:rsidR="006C0054" w:rsidRPr="00BF0264">
        <w:t xml:space="preserve"> </w:t>
      </w:r>
      <w:r w:rsidR="00AD6B6B" w:rsidRPr="00BF0264">
        <w:t xml:space="preserve">we are not </w:t>
      </w:r>
      <w:r w:rsidR="00AD6B6B" w:rsidRPr="00BF0264">
        <w:lastRenderedPageBreak/>
        <w:t>convinced the potential benefits of more accurate frequency counts outweigh what is being conceded.</w:t>
      </w:r>
    </w:p>
    <w:p w14:paraId="7701A976" w14:textId="3CA2A064" w:rsidR="00287734" w:rsidRPr="00BF0264" w:rsidRDefault="00287734" w:rsidP="00D00FFA">
      <w:pPr>
        <w:pStyle w:val="NoSpacing"/>
        <w:spacing w:line="480" w:lineRule="auto"/>
      </w:pPr>
      <w:r w:rsidRPr="00BF0264">
        <w:tab/>
        <w:t xml:space="preserve"> Firstly, there is </w:t>
      </w:r>
      <w:r w:rsidR="008014B4" w:rsidRPr="00BF0264">
        <w:t>the issue,</w:t>
      </w:r>
      <w:r w:rsidRPr="00BF0264">
        <w:t xml:space="preserve"> in the context of the </w:t>
      </w:r>
      <w:proofErr w:type="spellStart"/>
      <w:r w:rsidRPr="00BF0264">
        <w:t>CSEW</w:t>
      </w:r>
      <w:proofErr w:type="spellEnd"/>
      <w:r w:rsidRPr="00BF0264">
        <w:t xml:space="preserve">, of which source of data is afforded primacy: the main survey crime count, or the self-completion module. When the self-completion modules on interpersonal violence were introduced to the survey, it was in recognition that women underreported significantly their experiences of abuse to the ‘main’ part of the survey. </w:t>
      </w:r>
      <w:r w:rsidR="000A794C" w:rsidRPr="00BF0264">
        <w:t xml:space="preserve">Walby, in conjunction with the </w:t>
      </w:r>
      <w:r w:rsidRPr="00BF0264">
        <w:t>first author, consolidated self-completion modules on domestic violence, sexual assault and stalking to form a single module able to present a more accurate representation of these forms of intimate violence, both individually and in combination. Walby and Allen (200</w:t>
      </w:r>
      <w:r w:rsidR="00DE01C3" w:rsidRPr="00BF0264">
        <w:t xml:space="preserve">4) showed that disclosure </w:t>
      </w:r>
      <w:r w:rsidRPr="00BF0264">
        <w:t xml:space="preserve">to the </w:t>
      </w:r>
      <w:r w:rsidR="00DE01C3" w:rsidRPr="00BF0264">
        <w:t>2001 self-completion module was</w:t>
      </w:r>
      <w:r w:rsidRPr="00BF0264">
        <w:t xml:space="preserve"> considerably higher than to the main survey, producing prevalence estimates that were five times </w:t>
      </w:r>
      <w:r w:rsidR="00DE01C3" w:rsidRPr="00BF0264">
        <w:t>greater</w:t>
      </w:r>
      <w:r w:rsidRPr="00BF0264">
        <w:t xml:space="preserve">. This greater disclosure is most likely the result of a greater sense of confidentiality derived from the </w:t>
      </w:r>
      <w:r w:rsidR="004C28E6" w:rsidRPr="00BF0264">
        <w:t>anonymous</w:t>
      </w:r>
      <w:r w:rsidRPr="00BF0264">
        <w:t xml:space="preserve"> nature of the s</w:t>
      </w:r>
      <w:r w:rsidR="00966B4A" w:rsidRPr="00BF0264">
        <w:t xml:space="preserve">elf-completion methodology. Walby (2005) </w:t>
      </w:r>
      <w:r w:rsidR="008014B4" w:rsidRPr="00BF0264">
        <w:t>considered</w:t>
      </w:r>
      <w:r w:rsidR="00966B4A" w:rsidRPr="00BF0264">
        <w:t xml:space="preserve"> the most important </w:t>
      </w:r>
      <w:r w:rsidR="008014B4" w:rsidRPr="00BF0264">
        <w:t>element of survey methodology</w:t>
      </w:r>
      <w:r w:rsidR="00966B4A" w:rsidRPr="00BF0264">
        <w:t xml:space="preserve"> to </w:t>
      </w:r>
      <w:r w:rsidR="00EC2ACC" w:rsidRPr="00BF0264">
        <w:t xml:space="preserve">be </w:t>
      </w:r>
      <w:r w:rsidR="00966B4A" w:rsidRPr="00BF0264">
        <w:t>facili</w:t>
      </w:r>
      <w:r w:rsidR="00EC2ACC" w:rsidRPr="00BF0264">
        <w:t>tating</w:t>
      </w:r>
      <w:r w:rsidR="00966B4A" w:rsidRPr="00BF0264">
        <w:t xml:space="preserve"> disclosure though confidentiality.</w:t>
      </w:r>
    </w:p>
    <w:p w14:paraId="15CEF859" w14:textId="0F31E7C8" w:rsidR="00287734" w:rsidRPr="00BF0264" w:rsidRDefault="00287734" w:rsidP="00D00FFA">
      <w:pPr>
        <w:pStyle w:val="NoSpacing"/>
        <w:spacing w:line="480" w:lineRule="auto"/>
      </w:pPr>
      <w:r w:rsidRPr="00BF0264">
        <w:tab/>
      </w:r>
      <w:proofErr w:type="spellStart"/>
      <w:r w:rsidRPr="00BF0264">
        <w:t>Walby’s</w:t>
      </w:r>
      <w:proofErr w:type="spellEnd"/>
      <w:r w:rsidRPr="00BF0264">
        <w:t xml:space="preserve"> more recent stated preference for the </w:t>
      </w:r>
      <w:proofErr w:type="spellStart"/>
      <w:r w:rsidRPr="00BF0264">
        <w:t>CSEW</w:t>
      </w:r>
      <w:proofErr w:type="spellEnd"/>
      <w:r w:rsidRPr="00BF0264">
        <w:t xml:space="preserve"> main survey </w:t>
      </w:r>
      <w:r w:rsidR="00EC2ACC" w:rsidRPr="00BF0264">
        <w:t xml:space="preserve">(see Walby and Towers, 2017) </w:t>
      </w:r>
      <w:r w:rsidRPr="00BF0264">
        <w:t>appears dri</w:t>
      </w:r>
      <w:r w:rsidR="00B371B9" w:rsidRPr="00BF0264">
        <w:t xml:space="preserve">ven solely by the fact that </w:t>
      </w:r>
      <w:r w:rsidRPr="00BF0264">
        <w:t xml:space="preserve">victims reporting crimes to the main survey are asked how many discrete incidents they have experienced. While we regard Walby et al.’s </w:t>
      </w:r>
      <w:r w:rsidR="00147E36" w:rsidRPr="00BF0264">
        <w:t xml:space="preserve">innovative </w:t>
      </w:r>
      <w:r w:rsidRPr="00BF0264">
        <w:t xml:space="preserve">(2016) analysis of ‘uncapped’ data from the main </w:t>
      </w:r>
      <w:proofErr w:type="spellStart"/>
      <w:r w:rsidRPr="00BF0264">
        <w:t>CSEW</w:t>
      </w:r>
      <w:proofErr w:type="spellEnd"/>
      <w:r w:rsidRPr="00BF0264">
        <w:t xml:space="preserve"> crime count as an extremely important contribution to this field, revealing as it did a hitherto undocumented increase in the incidence of physical assaults against women, we question whether this approach is a transferable or sustainable way forward if the aim is to create alignment of measurement frameworks across jurisdictions. For the crime count in the main part of the </w:t>
      </w:r>
      <w:proofErr w:type="spellStart"/>
      <w:r w:rsidRPr="00BF0264">
        <w:t>CSEW</w:t>
      </w:r>
      <w:proofErr w:type="spellEnd"/>
      <w:r w:rsidRPr="00BF0264">
        <w:t>, face-to-face interviewers help victims disentangle different episodes of abuse and make estimations of ‘repeat’ incidents. There follows</w:t>
      </w:r>
      <w:r w:rsidR="00147E36" w:rsidRPr="00BF0264">
        <w:t xml:space="preserve"> an in-depth, manual coding</w:t>
      </w:r>
      <w:r w:rsidRPr="00BF0264">
        <w:t xml:space="preserve"> process to ensure that descriptions of incidents are allocated the correct crime classification. This process is beyond the scope of most surveys, and it remains to be</w:t>
      </w:r>
      <w:r w:rsidR="008E4218" w:rsidRPr="00BF0264">
        <w:t xml:space="preserve"> seen how long it is feasible for</w:t>
      </w:r>
      <w:r w:rsidR="00340DCA" w:rsidRPr="00BF0264">
        <w:t xml:space="preserve"> the </w:t>
      </w:r>
      <w:proofErr w:type="spellStart"/>
      <w:r w:rsidR="00340DCA" w:rsidRPr="00BF0264">
        <w:t>CSEW</w:t>
      </w:r>
      <w:proofErr w:type="spellEnd"/>
      <w:r w:rsidRPr="00BF0264">
        <w:t xml:space="preserve"> with the general trend for surveys being towards online administration. </w:t>
      </w:r>
      <w:r w:rsidRPr="00BF0264">
        <w:lastRenderedPageBreak/>
        <w:t xml:space="preserve">Frequency counts are </w:t>
      </w:r>
      <w:r w:rsidR="008014B4" w:rsidRPr="00BF0264">
        <w:t>less</w:t>
      </w:r>
      <w:r w:rsidRPr="00BF0264">
        <w:t xml:space="preserve"> feasible in the context of the current </w:t>
      </w:r>
      <w:proofErr w:type="spellStart"/>
      <w:r w:rsidRPr="00BF0264">
        <w:t>CSEW</w:t>
      </w:r>
      <w:proofErr w:type="spellEnd"/>
      <w:r w:rsidRPr="00BF0264">
        <w:t xml:space="preserve"> self-completion module. To ask victims to estimate the frequency of every abusive behaviour would add an unmanageable number of questions to the survey, while victims have been shown to be much less able to estimate accurately the frequency of specific behaviours without the help of an interviewer</w:t>
      </w:r>
      <w:r w:rsidRPr="00BF0264">
        <w:rPr>
          <w:rStyle w:val="FootnoteReference"/>
        </w:rPr>
        <w:footnoteReference w:id="4"/>
      </w:r>
      <w:r w:rsidRPr="00BF0264">
        <w:t>.</w:t>
      </w:r>
    </w:p>
    <w:p w14:paraId="401A3823" w14:textId="7349A4C9" w:rsidR="00287734" w:rsidRPr="00BF0264" w:rsidRDefault="00287734" w:rsidP="00D00FFA">
      <w:pPr>
        <w:pStyle w:val="NoSpacing"/>
        <w:spacing w:line="480" w:lineRule="auto"/>
      </w:pPr>
      <w:r w:rsidRPr="00BF0264">
        <w:tab/>
        <w:t>The issue of victims being unable to recall accurately discrete incidents of abuse has long been recognised in relation to police recorded crime data in England and Wales. Walby and colleagues have suggested (Walby, 2005; Walby and Towe</w:t>
      </w:r>
      <w:r w:rsidR="008014B4" w:rsidRPr="00BF0264">
        <w:t>rs, 2018</w:t>
      </w:r>
      <w:r w:rsidRPr="00BF0264">
        <w:t xml:space="preserve">) that including coercive control in measurement frameworks would obscure the incidence of violent crime, by rolling many incidents into a single course of conduct. That argument does not stand </w:t>
      </w:r>
      <w:r w:rsidR="008014B4" w:rsidRPr="00BF0264">
        <w:t>up to scrutiny. The Home Office</w:t>
      </w:r>
      <w:r w:rsidRPr="00BF0264">
        <w:t xml:space="preserve"> Co</w:t>
      </w:r>
      <w:r w:rsidR="00624675" w:rsidRPr="00BF0264">
        <w:t>unting Rules for Recorded Crime</w:t>
      </w:r>
      <w:r w:rsidR="00624675" w:rsidRPr="00BF0264">
        <w:rPr>
          <w:rStyle w:val="FootnoteReference"/>
        </w:rPr>
        <w:footnoteReference w:id="5"/>
      </w:r>
      <w:r w:rsidRPr="00BF0264">
        <w:t xml:space="preserve"> specify a ‘finished incident rule’ precis</w:t>
      </w:r>
      <w:r w:rsidR="00EC2ACC" w:rsidRPr="00BF0264">
        <w:t>ely in recognition that it</w:t>
      </w:r>
      <w:r w:rsidRPr="00BF0264">
        <w:t xml:space="preserve"> may not be possible for victims to recall accurately multiple victimisations, should they not report each incident contemporaneously. Thus</w:t>
      </w:r>
      <w:r w:rsidR="00AD6B6B" w:rsidRPr="00BF0264">
        <w:t>,</w:t>
      </w:r>
      <w:r w:rsidRPr="00BF0264">
        <w:t xml:space="preserve"> if a victim of domestic violence calls the police for the first time to report weeks, months or even years of physical abuse (which is not an unusual scenario, see Kelly, 1999) then the police would, under the finished incident rule, record one crime of assault. Any subsequent report would be counted as a separate crime. The introduction of coercive control as a cr</w:t>
      </w:r>
      <w:r w:rsidR="00EC2ACC" w:rsidRPr="00BF0264">
        <w:t xml:space="preserve">ime category </w:t>
      </w:r>
      <w:r w:rsidRPr="00BF0264">
        <w:t>has not changed this scenario: one crime of coercive control would be recorded, followed by another crime of coercive control, physical assault or other appropriate crime should there be a subseque</w:t>
      </w:r>
      <w:bookmarkStart w:id="0" w:name="_GoBack"/>
      <w:bookmarkEnd w:id="0"/>
      <w:r w:rsidRPr="00BF0264">
        <w:t xml:space="preserve">nt report. The only change is with the </w:t>
      </w:r>
      <w:r w:rsidRPr="00BF0264">
        <w:rPr>
          <w:i/>
        </w:rPr>
        <w:t>proportion</w:t>
      </w:r>
      <w:r w:rsidRPr="00BF0264">
        <w:t xml:space="preserve"> of crime classified as ‘violence with injury’, following the Home Office’s decision to classify coercive control under ‘violence without injury’. We would suggest, bearing in mind the inevitabil</w:t>
      </w:r>
      <w:r w:rsidR="008014B4" w:rsidRPr="00BF0264">
        <w:t>ity of some form of emotional or</w:t>
      </w:r>
      <w:r w:rsidRPr="00BF0264">
        <w:t xml:space="preserve"> psychological injury following coercive control, that classifying coercive control as violence with injury would be preferable to marginalising or ignoring it.</w:t>
      </w:r>
    </w:p>
    <w:p w14:paraId="48E86D55" w14:textId="6F497435" w:rsidR="00287734" w:rsidRPr="00BF0264" w:rsidRDefault="00287734" w:rsidP="00D00FFA">
      <w:pPr>
        <w:pStyle w:val="NoSpacing"/>
        <w:spacing w:line="480" w:lineRule="auto"/>
      </w:pPr>
      <w:r w:rsidRPr="00BF0264">
        <w:tab/>
        <w:t xml:space="preserve">We </w:t>
      </w:r>
      <w:r w:rsidR="00340DCA" w:rsidRPr="00BF0264">
        <w:t>support the aim of</w:t>
      </w:r>
      <w:r w:rsidRPr="00BF0264">
        <w:t xml:space="preserve"> capturing the frequency of physical violence experienced by victims of domestic abuse. But we believe that endeavour should not be at the expense of capturing the </w:t>
      </w:r>
      <w:r w:rsidRPr="00BF0264">
        <w:lastRenderedPageBreak/>
        <w:t>prevalence of abuse, and especially the non-violent forms of coercion and control that are central to what survivors describe as their experience of abuse. These behaviours</w:t>
      </w:r>
      <w:r w:rsidR="00147E36" w:rsidRPr="00BF0264">
        <w:t xml:space="preserve"> are,</w:t>
      </w:r>
      <w:r w:rsidR="008014B4" w:rsidRPr="00BF0264">
        <w:t xml:space="preserve"> by their continuous nature, less</w:t>
      </w:r>
      <w:r w:rsidRPr="00BF0264">
        <w:t xml:space="preserve"> possible to conceptualise as discrete acts and to quantify. We also believe that the type of counting advocated b</w:t>
      </w:r>
      <w:r w:rsidR="00BD3464" w:rsidRPr="00BF0264">
        <w:t xml:space="preserve">y Walby and colleagues is </w:t>
      </w:r>
      <w:r w:rsidRPr="00BF0264">
        <w:t xml:space="preserve">compatible with the concept of coercive control. The two approaches </w:t>
      </w:r>
      <w:r w:rsidR="008014B4" w:rsidRPr="00BF0264">
        <w:t>can be</w:t>
      </w:r>
      <w:r w:rsidRPr="00BF0264">
        <w:t xml:space="preserve"> </w:t>
      </w:r>
      <w:r w:rsidR="008014B4" w:rsidRPr="00BF0264">
        <w:t>complementary</w:t>
      </w:r>
      <w:r w:rsidRPr="00BF0264">
        <w:t>, and Walby herself has suggested previously that ‘it is important to include … both the number of incidents as well as the prevalence rate, not just one or the other, if the extent of violence against women is to be adequately represented’ (Walby, 2005:195). Acts of physical violence can be counted, and situated within or without non-violent coercion and control. In that way, sub-types of abuse can be recognised, as with analysis of data from the Canadian General Social Survey (</w:t>
      </w:r>
      <w:proofErr w:type="spellStart"/>
      <w:r w:rsidRPr="00BF0264">
        <w:t>Ansara</w:t>
      </w:r>
      <w:proofErr w:type="spellEnd"/>
      <w:r w:rsidRPr="00BF0264">
        <w:t xml:space="preserve"> and </w:t>
      </w:r>
      <w:proofErr w:type="spellStart"/>
      <w:r w:rsidRPr="00BF0264">
        <w:t>Hindin</w:t>
      </w:r>
      <w:proofErr w:type="spellEnd"/>
      <w:r w:rsidRPr="00BF0264">
        <w:t>, 2010): coercive control that includes physical violence, coercive control where physical violence is not prominent, and so on. On its own, and without embracing the crime category of coercive control that now ex</w:t>
      </w:r>
      <w:r w:rsidR="00BD3464" w:rsidRPr="00BF0264">
        <w:t>ists in England and Wales, the domestic violent c</w:t>
      </w:r>
      <w:r w:rsidRPr="00BF0264">
        <w:t>rime model excludes much of the abusive behaviour that women suffer. It also fails to situate physically violent acts in context, meaning it illuminates the gendered nature of abuse in some respects, but obscures it in others. Possible common ground, and a way forward for the development of measurement in this field, is a focus on measures of impact and harm, and in particular attempting to capture the emotional and psychological harm that is inadequately captured by traditional crime categories</w:t>
      </w:r>
      <w:r w:rsidR="00E23038" w:rsidRPr="00BF0264">
        <w:t xml:space="preserve"> (see also Stark and Hester, 2019)</w:t>
      </w:r>
      <w:r w:rsidRPr="00BF0264">
        <w:t>.</w:t>
      </w:r>
    </w:p>
    <w:p w14:paraId="17B72ED2" w14:textId="3DFDBE99" w:rsidR="00287734" w:rsidRPr="00BF0264" w:rsidRDefault="00287734" w:rsidP="00D00FFA">
      <w:pPr>
        <w:pStyle w:val="NoSpacing"/>
        <w:spacing w:line="480" w:lineRule="auto"/>
        <w:ind w:firstLine="720"/>
      </w:pPr>
      <w:r w:rsidRPr="00BF0264">
        <w:t xml:space="preserve">We </w:t>
      </w:r>
      <w:r w:rsidR="00AD6B6B" w:rsidRPr="00BF0264">
        <w:t>conclude</w:t>
      </w:r>
      <w:r w:rsidRPr="00BF0264">
        <w:t xml:space="preserve"> by returning to the issue of the salience of qualitative research in this field of inquiry. </w:t>
      </w:r>
      <w:proofErr w:type="spellStart"/>
      <w:r w:rsidRPr="00BF0264">
        <w:t>Raynor</w:t>
      </w:r>
      <w:proofErr w:type="spellEnd"/>
      <w:r w:rsidRPr="00BF0264">
        <w:t xml:space="preserve"> (2018:60), reflecting on the ‘what works’ paradigm in the field of probation, describes social scientific inquiry as a ‘three legged creature’. While measurement and comparison may be the ultimate goals of policy-oriented research</w:t>
      </w:r>
      <w:r w:rsidR="008014B4" w:rsidRPr="00BF0264">
        <w:t xml:space="preserve"> and evaluation</w:t>
      </w:r>
      <w:r w:rsidRPr="00BF0264">
        <w:t xml:space="preserve">, they must be underpinned by (qualitative) </w:t>
      </w:r>
      <w:r w:rsidRPr="00BF0264">
        <w:rPr>
          <w:i/>
        </w:rPr>
        <w:t>understanding</w:t>
      </w:r>
      <w:r w:rsidRPr="00BF0264">
        <w:t xml:space="preserve"> of ‘the aims of social actors … and the meanings they attach to what they do and to what happens to them’. In the field of domestic violence, that understanding has been established through a proud tradition of feminist-activist research involving survivors’ in-depth accounts of their lives and abuse histories. As mixed-method researchers, we are not </w:t>
      </w:r>
      <w:r w:rsidRPr="00BF0264">
        <w:lastRenderedPageBreak/>
        <w:t>underestimating the role that quantitative data has to play in illuminating the extent and nature of violence against women, but we are concerned about a trend towards quantitative analyses that use</w:t>
      </w:r>
      <w:r w:rsidR="008E4218" w:rsidRPr="00BF0264">
        <w:t>s</w:t>
      </w:r>
      <w:r w:rsidRPr="00BF0264">
        <w:t xml:space="preserve"> conceptualisations and sources of data that bear little resemblan</w:t>
      </w:r>
      <w:r w:rsidR="00AD6B6B" w:rsidRPr="00BF0264">
        <w:t>ce to women’s lived experiences</w:t>
      </w:r>
      <w:r w:rsidRPr="00BF0264">
        <w:t xml:space="preserve">. </w:t>
      </w:r>
    </w:p>
    <w:p w14:paraId="39DEE5A8" w14:textId="4A85CC12" w:rsidR="00287734" w:rsidRPr="00BF0264" w:rsidRDefault="00287734" w:rsidP="00D00FFA">
      <w:pPr>
        <w:pStyle w:val="NoSpacing"/>
        <w:spacing w:line="480" w:lineRule="auto"/>
        <w:ind w:firstLine="720"/>
      </w:pPr>
      <w:r w:rsidRPr="00BF0264">
        <w:t>In summary, while we support wholeheartedly the accurate measurement of the type and frequency of physical violence, we believe measuring non-violent forms of coercion is fundamental to understanding the gendered nature of abuse. By ignoring the gender hierarchies within</w:t>
      </w:r>
      <w:r w:rsidR="002C3B81" w:rsidRPr="00BF0264">
        <w:t xml:space="preserve"> which</w:t>
      </w:r>
      <w:r w:rsidR="00946F1C" w:rsidRPr="00BF0264">
        <w:t xml:space="preserve"> physical violence occurs, the domestic violent c</w:t>
      </w:r>
      <w:r w:rsidRPr="00BF0264">
        <w:t xml:space="preserve">rime model will inevitably count primary perpetrators as victims. It tells us little about violence in conjunction with non-violent coercion, and nothing about people who suffer only non-violent coercion but show the same levels of fear and use the same coping strategies as those who also experience physical violence (Crossman et al., 2016). Proponents of the model posit currently only one explanatory theory, based on the economic resilience of victims. </w:t>
      </w:r>
      <w:r w:rsidRPr="00BF0264">
        <w:rPr>
          <w:rFonts w:cs="Arial"/>
        </w:rPr>
        <w:t xml:space="preserve">If this is the link between data and explanation – that only those variables which show high correlations with violence in surveys are to be theorised – we are moving very far away from the extensive body of research in which women discuss what they experience as harmful and why. </w:t>
      </w:r>
      <w:r w:rsidRPr="00BF0264">
        <w:t>Our measurement frameworks must be true to lived experiences, or we risk distorting those experiences and the policy and practice that seeks to help women to live free from abuse.</w:t>
      </w:r>
    </w:p>
    <w:p w14:paraId="371D27C3" w14:textId="77777777" w:rsidR="00287734" w:rsidRPr="00BF0264" w:rsidRDefault="00287734" w:rsidP="00D00FFA">
      <w:pPr>
        <w:pStyle w:val="NoSpacing"/>
        <w:spacing w:line="480" w:lineRule="auto"/>
      </w:pPr>
    </w:p>
    <w:p w14:paraId="0A74A20D" w14:textId="53BF4440" w:rsidR="00287734" w:rsidRPr="00BF0264" w:rsidRDefault="00287734" w:rsidP="00D00FFA">
      <w:pPr>
        <w:pStyle w:val="NoSpacing"/>
        <w:spacing w:line="480" w:lineRule="auto"/>
      </w:pPr>
    </w:p>
    <w:p w14:paraId="37797303" w14:textId="77777777" w:rsidR="00287734" w:rsidRPr="00BF0264" w:rsidRDefault="00287734" w:rsidP="00D00FFA">
      <w:pPr>
        <w:pStyle w:val="NoSpacing"/>
        <w:spacing w:line="480" w:lineRule="auto"/>
        <w:rPr>
          <w:b/>
        </w:rPr>
      </w:pPr>
      <w:r w:rsidRPr="00BF0264">
        <w:rPr>
          <w:b/>
        </w:rPr>
        <w:t>References</w:t>
      </w:r>
    </w:p>
    <w:p w14:paraId="493E0CF6" w14:textId="785B601B" w:rsidR="00287734" w:rsidRPr="00BF0264" w:rsidRDefault="00287734" w:rsidP="00D00FFA">
      <w:pPr>
        <w:pStyle w:val="NoSpacing"/>
        <w:spacing w:line="480" w:lineRule="auto"/>
      </w:pPr>
      <w:proofErr w:type="spellStart"/>
      <w:r w:rsidRPr="00BF0264">
        <w:t>Ansara</w:t>
      </w:r>
      <w:proofErr w:type="spellEnd"/>
      <w:r w:rsidRPr="00BF0264">
        <w:t xml:space="preserve"> D and </w:t>
      </w:r>
      <w:proofErr w:type="spellStart"/>
      <w:r w:rsidRPr="00BF0264">
        <w:t>Hindin</w:t>
      </w:r>
      <w:proofErr w:type="spellEnd"/>
      <w:r w:rsidRPr="00BF0264">
        <w:t xml:space="preserve"> M (2010) Exploring gender differences in the patterns of intimate partner violence in Canada: A latent class approach. </w:t>
      </w:r>
      <w:r w:rsidRPr="00BF0264">
        <w:rPr>
          <w:i/>
        </w:rPr>
        <w:t>Journal of Epidemiology and Community Health</w:t>
      </w:r>
      <w:r w:rsidRPr="00BF0264">
        <w:t xml:space="preserve"> 64(10): 849-854.</w:t>
      </w:r>
    </w:p>
    <w:p w14:paraId="6133A513" w14:textId="0AACB4C4" w:rsidR="005B2B16" w:rsidRPr="00BF0264" w:rsidRDefault="005B2B16" w:rsidP="00D00FFA">
      <w:pPr>
        <w:pStyle w:val="NoSpacing"/>
        <w:spacing w:line="480" w:lineRule="auto"/>
      </w:pPr>
      <w:r w:rsidRPr="00BF0264">
        <w:t xml:space="preserve">Connell R (2009) </w:t>
      </w:r>
      <w:r w:rsidRPr="00BF0264">
        <w:rPr>
          <w:i/>
        </w:rPr>
        <w:t>Gender</w:t>
      </w:r>
      <w:r w:rsidRPr="00BF0264">
        <w:t>. Cambridge: Polity Press.</w:t>
      </w:r>
    </w:p>
    <w:p w14:paraId="6C840F28" w14:textId="48CA38D0" w:rsidR="00287734" w:rsidRPr="00BF0264" w:rsidRDefault="00AD6B6B" w:rsidP="00D00FFA">
      <w:pPr>
        <w:pStyle w:val="NoSpacing"/>
        <w:spacing w:line="480" w:lineRule="auto"/>
      </w:pPr>
      <w:r w:rsidRPr="00BF0264">
        <w:t xml:space="preserve">Coy M and Kelly L (forthcoming) </w:t>
      </w:r>
      <w:proofErr w:type="gramStart"/>
      <w:r w:rsidRPr="00BF0264">
        <w:t>The</w:t>
      </w:r>
      <w:proofErr w:type="gramEnd"/>
      <w:r w:rsidRPr="00BF0264">
        <w:t xml:space="preserve"> </w:t>
      </w:r>
      <w:proofErr w:type="spellStart"/>
      <w:r w:rsidRPr="00BF0264">
        <w:t>responsibilisation</w:t>
      </w:r>
      <w:proofErr w:type="spellEnd"/>
      <w:r w:rsidRPr="00BF0264">
        <w:t xml:space="preserve"> of women who experience domestic violence: a case study from England and Wales.</w:t>
      </w:r>
    </w:p>
    <w:p w14:paraId="214670E9" w14:textId="77777777" w:rsidR="00287734" w:rsidRPr="00BF0264" w:rsidRDefault="00287734" w:rsidP="00D00FFA">
      <w:pPr>
        <w:pStyle w:val="NoSpacing"/>
        <w:spacing w:line="480" w:lineRule="auto"/>
      </w:pPr>
      <w:r w:rsidRPr="00BF0264">
        <w:lastRenderedPageBreak/>
        <w:t xml:space="preserve">Crossman K, Hardesty J and </w:t>
      </w:r>
      <w:proofErr w:type="spellStart"/>
      <w:r w:rsidRPr="00BF0264">
        <w:t>Raffaelli</w:t>
      </w:r>
      <w:proofErr w:type="spellEnd"/>
      <w:r w:rsidRPr="00BF0264">
        <w:t xml:space="preserve"> M (2016) “He could scare me without laying a hand on me”: Mothers’ experiences of nonviolent coercive control during marriage and after separation. </w:t>
      </w:r>
      <w:r w:rsidRPr="00BF0264">
        <w:rPr>
          <w:i/>
        </w:rPr>
        <w:t xml:space="preserve">Violence </w:t>
      </w:r>
      <w:proofErr w:type="gramStart"/>
      <w:r w:rsidRPr="00BF0264">
        <w:rPr>
          <w:i/>
        </w:rPr>
        <w:t>Against</w:t>
      </w:r>
      <w:proofErr w:type="gramEnd"/>
      <w:r w:rsidRPr="00BF0264">
        <w:rPr>
          <w:i/>
        </w:rPr>
        <w:t xml:space="preserve"> Women </w:t>
      </w:r>
      <w:r w:rsidRPr="00BF0264">
        <w:t>22(4): 454-473.</w:t>
      </w:r>
    </w:p>
    <w:p w14:paraId="26666C65" w14:textId="77777777" w:rsidR="00287734" w:rsidRPr="00BF0264" w:rsidRDefault="00287734" w:rsidP="00D00FFA">
      <w:pPr>
        <w:pStyle w:val="NoSpacing"/>
        <w:spacing w:line="480" w:lineRule="auto"/>
      </w:pPr>
      <w:proofErr w:type="spellStart"/>
      <w:r w:rsidRPr="00BF0264">
        <w:t>Dobash</w:t>
      </w:r>
      <w:proofErr w:type="spellEnd"/>
      <w:r w:rsidRPr="00BF0264">
        <w:t xml:space="preserve"> R and </w:t>
      </w:r>
      <w:proofErr w:type="spellStart"/>
      <w:r w:rsidRPr="00BF0264">
        <w:t>Dobash</w:t>
      </w:r>
      <w:proofErr w:type="spellEnd"/>
      <w:r w:rsidRPr="00BF0264">
        <w:t xml:space="preserve"> R (1979) </w:t>
      </w:r>
      <w:r w:rsidRPr="00BF0264">
        <w:rPr>
          <w:i/>
        </w:rPr>
        <w:t>Violence against wives</w:t>
      </w:r>
      <w:r w:rsidRPr="00BF0264">
        <w:t>. New York: The Free Press.</w:t>
      </w:r>
    </w:p>
    <w:p w14:paraId="425918B0" w14:textId="77777777" w:rsidR="00287734" w:rsidRPr="00BF0264" w:rsidRDefault="00287734" w:rsidP="00D00FFA">
      <w:pPr>
        <w:pStyle w:val="NoSpacing"/>
        <w:spacing w:line="480" w:lineRule="auto"/>
      </w:pPr>
      <w:proofErr w:type="spellStart"/>
      <w:r w:rsidRPr="00BF0264">
        <w:t>Dobash</w:t>
      </w:r>
      <w:proofErr w:type="spellEnd"/>
      <w:r w:rsidRPr="00BF0264">
        <w:t xml:space="preserve"> R and </w:t>
      </w:r>
      <w:proofErr w:type="spellStart"/>
      <w:r w:rsidRPr="00BF0264">
        <w:t>Dobash</w:t>
      </w:r>
      <w:proofErr w:type="spellEnd"/>
      <w:r w:rsidRPr="00BF0264">
        <w:t xml:space="preserve"> R (2004) Women’s violence to men in intimate relationships: Working on a puzzle. </w:t>
      </w:r>
      <w:r w:rsidRPr="00BF0264">
        <w:rPr>
          <w:i/>
        </w:rPr>
        <w:t>British Journal of Criminology</w:t>
      </w:r>
      <w:r w:rsidRPr="00BF0264">
        <w:t xml:space="preserve"> 44(3): 324-349.</w:t>
      </w:r>
    </w:p>
    <w:p w14:paraId="6F14E20A" w14:textId="77777777" w:rsidR="00287734" w:rsidRPr="00BF0264" w:rsidRDefault="00287734" w:rsidP="00D00FFA">
      <w:pPr>
        <w:pStyle w:val="NoSpacing"/>
        <w:spacing w:line="480" w:lineRule="auto"/>
      </w:pPr>
      <w:proofErr w:type="spellStart"/>
      <w:r w:rsidRPr="00BF0264">
        <w:t>Dobash</w:t>
      </w:r>
      <w:proofErr w:type="spellEnd"/>
      <w:r w:rsidRPr="00BF0264">
        <w:t xml:space="preserve"> R and </w:t>
      </w:r>
      <w:proofErr w:type="spellStart"/>
      <w:r w:rsidRPr="00BF0264">
        <w:t>Dobash</w:t>
      </w:r>
      <w:proofErr w:type="spellEnd"/>
      <w:r w:rsidRPr="00BF0264">
        <w:t xml:space="preserve"> R (2015) </w:t>
      </w:r>
      <w:proofErr w:type="gramStart"/>
      <w:r w:rsidRPr="00BF0264">
        <w:rPr>
          <w:i/>
        </w:rPr>
        <w:t>When</w:t>
      </w:r>
      <w:proofErr w:type="gramEnd"/>
      <w:r w:rsidRPr="00BF0264">
        <w:rPr>
          <w:i/>
        </w:rPr>
        <w:t xml:space="preserve"> men murder women</w:t>
      </w:r>
      <w:r w:rsidRPr="00BF0264">
        <w:t>. Oxford: Oxford University Press.</w:t>
      </w:r>
    </w:p>
    <w:p w14:paraId="547C7014" w14:textId="2B56CEA0" w:rsidR="00287734" w:rsidRPr="00BF0264" w:rsidRDefault="00287734" w:rsidP="00D00FFA">
      <w:pPr>
        <w:pStyle w:val="NoSpacing"/>
        <w:spacing w:line="480" w:lineRule="auto"/>
        <w:rPr>
          <w:rFonts w:cs="Times New Roman"/>
          <w:iCs/>
          <w:lang w:eastAsia="en-GB"/>
        </w:rPr>
      </w:pPr>
      <w:proofErr w:type="spellStart"/>
      <w:r w:rsidRPr="00BF0264">
        <w:rPr>
          <w:lang w:eastAsia="en-GB"/>
        </w:rPr>
        <w:t>Goard</w:t>
      </w:r>
      <w:proofErr w:type="spellEnd"/>
      <w:r w:rsidRPr="00BF0264">
        <w:rPr>
          <w:lang w:eastAsia="en-GB"/>
        </w:rPr>
        <w:t xml:space="preserve"> C and </w:t>
      </w:r>
      <w:proofErr w:type="spellStart"/>
      <w:r w:rsidRPr="00BF0264">
        <w:rPr>
          <w:lang w:eastAsia="en-GB"/>
        </w:rPr>
        <w:t>Tutty</w:t>
      </w:r>
      <w:proofErr w:type="spellEnd"/>
      <w:r w:rsidRPr="00BF0264">
        <w:rPr>
          <w:lang w:eastAsia="en-GB"/>
        </w:rPr>
        <w:t xml:space="preserve"> L (</w:t>
      </w:r>
      <w:proofErr w:type="spellStart"/>
      <w:proofErr w:type="gramStart"/>
      <w:r w:rsidRPr="00BF0264">
        <w:rPr>
          <w:lang w:eastAsia="en-GB"/>
        </w:rPr>
        <w:t>eds</w:t>
      </w:r>
      <w:proofErr w:type="spellEnd"/>
      <w:proofErr w:type="gramEnd"/>
      <w:r w:rsidRPr="00BF0264">
        <w:rPr>
          <w:lang w:eastAsia="en-GB"/>
        </w:rPr>
        <w:t xml:space="preserve">) (2002) </w:t>
      </w:r>
      <w:hyperlink r:id="rId9" w:history="1">
        <w:r w:rsidRPr="00BF0264">
          <w:rPr>
            <w:i/>
            <w:bdr w:val="none" w:sz="0" w:space="0" w:color="auto" w:frame="1"/>
            <w:lang w:eastAsia="en-GB"/>
          </w:rPr>
          <w:t>Reclaiming Self</w:t>
        </w:r>
      </w:hyperlink>
      <w:r w:rsidRPr="00BF0264">
        <w:rPr>
          <w:i/>
          <w:lang w:eastAsia="en-GB"/>
        </w:rPr>
        <w:t xml:space="preserve">: </w:t>
      </w:r>
      <w:r w:rsidRPr="00BF0264">
        <w:rPr>
          <w:rFonts w:cs="Times New Roman"/>
          <w:i/>
          <w:iCs/>
          <w:lang w:eastAsia="en-GB"/>
        </w:rPr>
        <w:t>Issues and Resources for Women Abused by Intimate Partners</w:t>
      </w:r>
      <w:r w:rsidRPr="00BF0264">
        <w:rPr>
          <w:rFonts w:cs="Times New Roman"/>
          <w:iCs/>
          <w:lang w:eastAsia="en-GB"/>
        </w:rPr>
        <w:t xml:space="preserve">. Calgary: </w:t>
      </w:r>
      <w:proofErr w:type="spellStart"/>
      <w:r w:rsidRPr="00BF0264">
        <w:rPr>
          <w:rFonts w:cs="Times New Roman"/>
          <w:iCs/>
          <w:lang w:eastAsia="en-GB"/>
        </w:rPr>
        <w:t>Fernwood</w:t>
      </w:r>
      <w:proofErr w:type="spellEnd"/>
      <w:r w:rsidRPr="00BF0264">
        <w:rPr>
          <w:rFonts w:cs="Times New Roman"/>
          <w:iCs/>
          <w:lang w:eastAsia="en-GB"/>
        </w:rPr>
        <w:t xml:space="preserve"> Publishing. </w:t>
      </w:r>
    </w:p>
    <w:p w14:paraId="122417AD" w14:textId="77777777" w:rsidR="00287734" w:rsidRPr="00BF0264" w:rsidRDefault="00287734" w:rsidP="00D00FFA">
      <w:pPr>
        <w:pStyle w:val="NoSpacing"/>
        <w:spacing w:line="480" w:lineRule="auto"/>
        <w:rPr>
          <w:rFonts w:cs="Times New Roman"/>
          <w:iCs/>
          <w:lang w:eastAsia="en-GB"/>
        </w:rPr>
      </w:pPr>
      <w:r w:rsidRPr="00BF0264">
        <w:rPr>
          <w:rFonts w:cs="Times New Roman"/>
          <w:iCs/>
          <w:lang w:eastAsia="en-GB"/>
        </w:rPr>
        <w:t xml:space="preserve">Hester M (2006) </w:t>
      </w:r>
      <w:proofErr w:type="gramStart"/>
      <w:r w:rsidRPr="00BF0264">
        <w:rPr>
          <w:rFonts w:cs="Times New Roman"/>
          <w:iCs/>
          <w:lang w:eastAsia="en-GB"/>
        </w:rPr>
        <w:t>Making</w:t>
      </w:r>
      <w:proofErr w:type="gramEnd"/>
      <w:r w:rsidRPr="00BF0264">
        <w:rPr>
          <w:rFonts w:cs="Times New Roman"/>
          <w:iCs/>
          <w:lang w:eastAsia="en-GB"/>
        </w:rPr>
        <w:t xml:space="preserve"> it through the criminal justice system: attrition and domestic violence. </w:t>
      </w:r>
      <w:r w:rsidRPr="00BF0264">
        <w:rPr>
          <w:rFonts w:cs="Times New Roman"/>
          <w:i/>
          <w:iCs/>
          <w:lang w:eastAsia="en-GB"/>
        </w:rPr>
        <w:t>Social Policy and Society</w:t>
      </w:r>
      <w:r w:rsidRPr="00BF0264">
        <w:rPr>
          <w:rFonts w:cs="Times New Roman"/>
          <w:iCs/>
          <w:lang w:eastAsia="en-GB"/>
        </w:rPr>
        <w:t xml:space="preserve"> 5(1): 79-90.</w:t>
      </w:r>
    </w:p>
    <w:p w14:paraId="0DAD0BE3" w14:textId="77777777" w:rsidR="00287734" w:rsidRPr="00BF0264" w:rsidRDefault="00287734" w:rsidP="00D00FFA">
      <w:pPr>
        <w:pStyle w:val="NoSpacing"/>
        <w:spacing w:line="480" w:lineRule="auto"/>
      </w:pPr>
      <w:r w:rsidRPr="00BF0264">
        <w:t xml:space="preserve">Hester M, Jones C, Williamson E, </w:t>
      </w:r>
      <w:proofErr w:type="spellStart"/>
      <w:r w:rsidRPr="00BF0264">
        <w:t>Fahmy</w:t>
      </w:r>
      <w:proofErr w:type="spellEnd"/>
      <w:r w:rsidRPr="00BF0264">
        <w:t xml:space="preserve"> E and </w:t>
      </w:r>
      <w:proofErr w:type="spellStart"/>
      <w:r w:rsidRPr="00BF0264">
        <w:t>Feder</w:t>
      </w:r>
      <w:proofErr w:type="spellEnd"/>
      <w:r w:rsidRPr="00BF0264">
        <w:t xml:space="preserve"> G (2017) Is it coercive controlling violence? A cross-sectional domestic violence and abuse survey of men attending general practice in England. </w:t>
      </w:r>
      <w:r w:rsidRPr="00BF0264">
        <w:rPr>
          <w:i/>
        </w:rPr>
        <w:t>Psychology of Violence</w:t>
      </w:r>
      <w:r w:rsidRPr="00BF0264">
        <w:t xml:space="preserve"> </w:t>
      </w:r>
      <w:proofErr w:type="spellStart"/>
      <w:r w:rsidRPr="00BF0264">
        <w:t>DOI</w:t>
      </w:r>
      <w:proofErr w:type="spellEnd"/>
      <w:r w:rsidRPr="00BF0264">
        <w:t>: 10.1037/vio0000107.</w:t>
      </w:r>
    </w:p>
    <w:p w14:paraId="42ADB43E" w14:textId="1D897022" w:rsidR="00287734" w:rsidRPr="00BF0264" w:rsidRDefault="00287734" w:rsidP="00D00FFA">
      <w:pPr>
        <w:pStyle w:val="NoSpacing"/>
        <w:spacing w:line="480" w:lineRule="auto"/>
      </w:pPr>
      <w:r w:rsidRPr="00BF0264">
        <w:t xml:space="preserve">Johnson M (2008) </w:t>
      </w:r>
      <w:proofErr w:type="gramStart"/>
      <w:r w:rsidRPr="00BF0264">
        <w:rPr>
          <w:i/>
        </w:rPr>
        <w:t>A</w:t>
      </w:r>
      <w:proofErr w:type="gramEnd"/>
      <w:r w:rsidRPr="00BF0264">
        <w:rPr>
          <w:i/>
        </w:rPr>
        <w:t xml:space="preserve"> typology of domestic violence: Intimate terrorism, violent resistance, and situational couple violence</w:t>
      </w:r>
      <w:r w:rsidRPr="00BF0264">
        <w:t xml:space="preserve">. Boston: </w:t>
      </w:r>
      <w:proofErr w:type="spellStart"/>
      <w:r w:rsidRPr="00BF0264">
        <w:t>Northeastern</w:t>
      </w:r>
      <w:proofErr w:type="spellEnd"/>
      <w:r w:rsidRPr="00BF0264">
        <w:t xml:space="preserve"> University Press.</w:t>
      </w:r>
    </w:p>
    <w:p w14:paraId="21313909" w14:textId="14CB7623" w:rsidR="00287734" w:rsidRPr="00BF0264" w:rsidRDefault="00287734" w:rsidP="00D00FFA">
      <w:pPr>
        <w:pStyle w:val="NoSpacing"/>
        <w:spacing w:line="480" w:lineRule="auto"/>
      </w:pPr>
      <w:r w:rsidRPr="00BF0264">
        <w:t xml:space="preserve">Kelly L (1987) </w:t>
      </w:r>
      <w:r w:rsidR="005B2B16" w:rsidRPr="00BF0264">
        <w:rPr>
          <w:i/>
        </w:rPr>
        <w:t>Surviving sexual v</w:t>
      </w:r>
      <w:r w:rsidRPr="00BF0264">
        <w:rPr>
          <w:i/>
        </w:rPr>
        <w:t>iolence</w:t>
      </w:r>
      <w:r w:rsidR="00E456D3" w:rsidRPr="00BF0264">
        <w:t>. Cambridge:</w:t>
      </w:r>
      <w:r w:rsidRPr="00BF0264">
        <w:t xml:space="preserve"> Polity Press.</w:t>
      </w:r>
    </w:p>
    <w:p w14:paraId="7865CF01" w14:textId="77777777" w:rsidR="00287734" w:rsidRPr="00BF0264" w:rsidRDefault="00287734" w:rsidP="00D00FFA">
      <w:pPr>
        <w:pStyle w:val="NoSpacing"/>
        <w:spacing w:line="480" w:lineRule="auto"/>
      </w:pPr>
      <w:r w:rsidRPr="00BF0264">
        <w:t xml:space="preserve">Kelly L (1999) </w:t>
      </w:r>
      <w:r w:rsidRPr="00BF0264">
        <w:rPr>
          <w:i/>
        </w:rPr>
        <w:t>Domestic violence matters</w:t>
      </w:r>
      <w:r w:rsidRPr="00BF0264">
        <w:t>. London: Home Office.</w:t>
      </w:r>
    </w:p>
    <w:p w14:paraId="74C3572A" w14:textId="77777777" w:rsidR="00287734" w:rsidRPr="00BF0264" w:rsidRDefault="00287734" w:rsidP="00D00FFA">
      <w:pPr>
        <w:pStyle w:val="NoSpacing"/>
        <w:spacing w:line="480" w:lineRule="auto"/>
      </w:pPr>
      <w:r w:rsidRPr="00BF0264">
        <w:t xml:space="preserve">Kelly L, Sharp N and Klein R (2014) </w:t>
      </w:r>
      <w:r w:rsidRPr="00BF0264">
        <w:rPr>
          <w:i/>
        </w:rPr>
        <w:t>Finding the Costs of Freedom: How women and children rebuild their lives after domestic violence</w:t>
      </w:r>
      <w:r w:rsidRPr="00BF0264">
        <w:t>. London: Solace Women’s Aid/</w:t>
      </w:r>
      <w:proofErr w:type="spellStart"/>
      <w:r w:rsidRPr="00BF0264">
        <w:t>CWASU</w:t>
      </w:r>
      <w:proofErr w:type="spellEnd"/>
      <w:r w:rsidRPr="00BF0264">
        <w:t>.</w:t>
      </w:r>
    </w:p>
    <w:p w14:paraId="04F3E591" w14:textId="3069E53D" w:rsidR="00287734" w:rsidRPr="00BF0264" w:rsidRDefault="00287734" w:rsidP="00D00FFA">
      <w:pPr>
        <w:pStyle w:val="NoSpacing"/>
        <w:spacing w:line="480" w:lineRule="auto"/>
      </w:pPr>
      <w:r w:rsidRPr="00BF0264">
        <w:rPr>
          <w:rFonts w:eastAsiaTheme="majorEastAsia"/>
        </w:rPr>
        <w:t xml:space="preserve">Kelly L and </w:t>
      </w:r>
      <w:proofErr w:type="spellStart"/>
      <w:r w:rsidRPr="00BF0264">
        <w:rPr>
          <w:rFonts w:eastAsiaTheme="majorEastAsia"/>
        </w:rPr>
        <w:t>Westmarland</w:t>
      </w:r>
      <w:proofErr w:type="spellEnd"/>
      <w:r w:rsidRPr="00BF0264">
        <w:rPr>
          <w:rFonts w:eastAsiaTheme="majorEastAsia"/>
        </w:rPr>
        <w:t xml:space="preserve"> N (2016) </w:t>
      </w:r>
      <w:hyperlink r:id="rId10" w:history="1">
        <w:r w:rsidRPr="00BF0264">
          <w:rPr>
            <w:rStyle w:val="Hyperlink"/>
            <w:rFonts w:cs="Arial"/>
            <w:bCs/>
            <w:color w:val="auto"/>
            <w:u w:val="none"/>
          </w:rPr>
          <w:t>Naming and defining 'domest</w:t>
        </w:r>
        <w:r w:rsidR="003D230C" w:rsidRPr="00BF0264">
          <w:rPr>
            <w:rStyle w:val="Hyperlink"/>
            <w:rFonts w:cs="Arial"/>
            <w:bCs/>
            <w:color w:val="auto"/>
            <w:u w:val="none"/>
          </w:rPr>
          <w:t>ic violence': L</w:t>
        </w:r>
        <w:r w:rsidRPr="00BF0264">
          <w:rPr>
            <w:rStyle w:val="Hyperlink"/>
            <w:rFonts w:cs="Arial"/>
            <w:bCs/>
            <w:color w:val="auto"/>
            <w:u w:val="none"/>
          </w:rPr>
          <w:t>essons from research with violent men</w:t>
        </w:r>
      </w:hyperlink>
      <w:r w:rsidRPr="00BF0264">
        <w:t xml:space="preserve">. </w:t>
      </w:r>
      <w:r w:rsidRPr="00BF0264">
        <w:rPr>
          <w:rFonts w:eastAsiaTheme="majorEastAsia"/>
          <w:i/>
        </w:rPr>
        <w:t>Feminist Review</w:t>
      </w:r>
      <w:r w:rsidRPr="00BF0264">
        <w:rPr>
          <w:rFonts w:eastAsiaTheme="majorEastAsia"/>
        </w:rPr>
        <w:t xml:space="preserve"> 112(1)</w:t>
      </w:r>
      <w:r w:rsidR="00B60AB1" w:rsidRPr="00BF0264">
        <w:rPr>
          <w:rFonts w:eastAsiaTheme="majorEastAsia"/>
        </w:rPr>
        <w:t xml:space="preserve">: </w:t>
      </w:r>
      <w:r w:rsidRPr="00BF0264">
        <w:rPr>
          <w:rFonts w:eastAsiaTheme="majorEastAsia"/>
        </w:rPr>
        <w:t>113-127</w:t>
      </w:r>
      <w:r w:rsidRPr="00BF0264">
        <w:t>.</w:t>
      </w:r>
    </w:p>
    <w:p w14:paraId="1BBA902B" w14:textId="77777777" w:rsidR="00287734" w:rsidRPr="00BF0264" w:rsidRDefault="00287734" w:rsidP="00D00FFA">
      <w:pPr>
        <w:pStyle w:val="NoSpacing"/>
        <w:spacing w:line="480" w:lineRule="auto"/>
      </w:pPr>
      <w:r w:rsidRPr="00BF0264">
        <w:t xml:space="preserve">Kirkwood C (1993) </w:t>
      </w:r>
      <w:r w:rsidRPr="00BF0264">
        <w:rPr>
          <w:i/>
        </w:rPr>
        <w:t>Leaving abusive partners: From the scars of survival to the wisdom for change</w:t>
      </w:r>
      <w:r w:rsidRPr="00BF0264">
        <w:t>.  London: Sage.</w:t>
      </w:r>
    </w:p>
    <w:p w14:paraId="5F3986B4" w14:textId="77777777" w:rsidR="00287734" w:rsidRPr="00BF0264" w:rsidRDefault="00287734" w:rsidP="00D00FFA">
      <w:pPr>
        <w:pStyle w:val="NoSpacing"/>
        <w:spacing w:line="480" w:lineRule="auto"/>
      </w:pPr>
      <w:proofErr w:type="spellStart"/>
      <w:r w:rsidRPr="00BF0264">
        <w:t>Langhinrichsen-Rohling</w:t>
      </w:r>
      <w:proofErr w:type="spellEnd"/>
      <w:r w:rsidRPr="00BF0264">
        <w:t xml:space="preserve"> J (2010) Controversies involving gender and intimate partner violence in the United States. </w:t>
      </w:r>
      <w:r w:rsidRPr="00BF0264">
        <w:rPr>
          <w:i/>
        </w:rPr>
        <w:t>Sex Roles</w:t>
      </w:r>
      <w:r w:rsidRPr="00BF0264">
        <w:t xml:space="preserve"> 62(3-4): 179-193.</w:t>
      </w:r>
    </w:p>
    <w:p w14:paraId="3CF1935D" w14:textId="77ED6622" w:rsidR="00287734" w:rsidRPr="00BF0264" w:rsidRDefault="00287734" w:rsidP="00D00FFA">
      <w:pPr>
        <w:pStyle w:val="NoSpacing"/>
        <w:spacing w:line="480" w:lineRule="auto"/>
        <w:rPr>
          <w:rStyle w:val="displayfields"/>
          <w:shd w:val="clear" w:color="auto" w:fill="FFFFFF"/>
        </w:rPr>
      </w:pPr>
      <w:r w:rsidRPr="00BF0264">
        <w:lastRenderedPageBreak/>
        <w:t xml:space="preserve">Lundgren E (1998) </w:t>
      </w:r>
      <w:proofErr w:type="gramStart"/>
      <w:r w:rsidRPr="00BF0264">
        <w:rPr>
          <w:rStyle w:val="Subtitle1"/>
          <w:bCs/>
          <w:shd w:val="clear" w:color="auto" w:fill="FFFFFF"/>
        </w:rPr>
        <w:t>The</w:t>
      </w:r>
      <w:proofErr w:type="gramEnd"/>
      <w:r w:rsidRPr="00BF0264">
        <w:rPr>
          <w:rStyle w:val="Subtitle1"/>
          <w:bCs/>
          <w:shd w:val="clear" w:color="auto" w:fill="FFFFFF"/>
        </w:rPr>
        <w:t xml:space="preserve"> hand that strikes and comforts: Gender construction and the tension between body and symbol. In: </w:t>
      </w:r>
      <w:proofErr w:type="spellStart"/>
      <w:r w:rsidRPr="00BF0264">
        <w:rPr>
          <w:rStyle w:val="Subtitle1"/>
          <w:bCs/>
          <w:shd w:val="clear" w:color="auto" w:fill="FFFFFF"/>
        </w:rPr>
        <w:t>Dobash</w:t>
      </w:r>
      <w:proofErr w:type="spellEnd"/>
      <w:r w:rsidRPr="00BF0264">
        <w:rPr>
          <w:rStyle w:val="Subtitle1"/>
          <w:bCs/>
          <w:shd w:val="clear" w:color="auto" w:fill="FFFFFF"/>
        </w:rPr>
        <w:t xml:space="preserve"> R and </w:t>
      </w:r>
      <w:proofErr w:type="spellStart"/>
      <w:r w:rsidRPr="00BF0264">
        <w:rPr>
          <w:rStyle w:val="Subtitle1"/>
          <w:bCs/>
          <w:shd w:val="clear" w:color="auto" w:fill="FFFFFF"/>
        </w:rPr>
        <w:t>Dobash</w:t>
      </w:r>
      <w:proofErr w:type="spellEnd"/>
      <w:r w:rsidRPr="00BF0264">
        <w:rPr>
          <w:rStyle w:val="Subtitle1"/>
          <w:bCs/>
          <w:shd w:val="clear" w:color="auto" w:fill="FFFFFF"/>
        </w:rPr>
        <w:t xml:space="preserve"> R (</w:t>
      </w:r>
      <w:proofErr w:type="spellStart"/>
      <w:proofErr w:type="gramStart"/>
      <w:r w:rsidRPr="00BF0264">
        <w:rPr>
          <w:rStyle w:val="Subtitle1"/>
          <w:bCs/>
          <w:shd w:val="clear" w:color="auto" w:fill="FFFFFF"/>
        </w:rPr>
        <w:t>eds</w:t>
      </w:r>
      <w:proofErr w:type="spellEnd"/>
      <w:proofErr w:type="gramEnd"/>
      <w:r w:rsidRPr="00BF0264">
        <w:rPr>
          <w:rStyle w:val="Subtitle1"/>
          <w:bCs/>
          <w:shd w:val="clear" w:color="auto" w:fill="FFFFFF"/>
        </w:rPr>
        <w:t xml:space="preserve">) </w:t>
      </w:r>
      <w:r w:rsidRPr="00BF0264">
        <w:rPr>
          <w:rStyle w:val="displayfields"/>
          <w:i/>
          <w:shd w:val="clear" w:color="auto" w:fill="FFFFFF"/>
        </w:rPr>
        <w:t>Rethinking Violence Against Women</w:t>
      </w:r>
      <w:r w:rsidRPr="00BF0264">
        <w:rPr>
          <w:rStyle w:val="displayfields"/>
          <w:shd w:val="clear" w:color="auto" w:fill="FFFFFF"/>
        </w:rPr>
        <w:t>, London: Sage, pp</w:t>
      </w:r>
      <w:r w:rsidR="005B2B16" w:rsidRPr="00BF0264">
        <w:rPr>
          <w:rStyle w:val="displayfields"/>
          <w:shd w:val="clear" w:color="auto" w:fill="FFFFFF"/>
        </w:rPr>
        <w:t>. 169-198.</w:t>
      </w:r>
    </w:p>
    <w:p w14:paraId="1AAF26D0" w14:textId="71207225" w:rsidR="00287734" w:rsidRPr="00BF0264" w:rsidRDefault="00287734" w:rsidP="00D00FFA">
      <w:pPr>
        <w:pStyle w:val="NoSpacing"/>
        <w:spacing w:line="480" w:lineRule="auto"/>
        <w:rPr>
          <w:shd w:val="clear" w:color="auto" w:fill="FFFFFF"/>
        </w:rPr>
      </w:pPr>
      <w:proofErr w:type="spellStart"/>
      <w:r w:rsidRPr="00BF0264">
        <w:rPr>
          <w:shd w:val="clear" w:color="auto" w:fill="FFFFFF"/>
        </w:rPr>
        <w:t>McGlynn</w:t>
      </w:r>
      <w:proofErr w:type="spellEnd"/>
      <w:r w:rsidRPr="00BF0264">
        <w:rPr>
          <w:shd w:val="clear" w:color="auto" w:fill="FFFFFF"/>
        </w:rPr>
        <w:t xml:space="preserve"> C and Munro V (2010) </w:t>
      </w:r>
      <w:r w:rsidR="002C6D2D" w:rsidRPr="00BF0264">
        <w:rPr>
          <w:i/>
          <w:shd w:val="clear" w:color="auto" w:fill="FFFFFF"/>
        </w:rPr>
        <w:t>Rethinking Rape Law: I</w:t>
      </w:r>
      <w:r w:rsidRPr="00BF0264">
        <w:rPr>
          <w:i/>
          <w:shd w:val="clear" w:color="auto" w:fill="FFFFFF"/>
        </w:rPr>
        <w:t>nternational and comparative perspectives</w:t>
      </w:r>
      <w:r w:rsidRPr="00BF0264">
        <w:rPr>
          <w:shd w:val="clear" w:color="auto" w:fill="FFFFFF"/>
        </w:rPr>
        <w:t>. London: Routledge.</w:t>
      </w:r>
    </w:p>
    <w:p w14:paraId="08C3CD66" w14:textId="167A4116" w:rsidR="00612425" w:rsidRPr="00BF0264" w:rsidRDefault="00340DCA" w:rsidP="00D00FFA">
      <w:pPr>
        <w:pStyle w:val="NoSpacing"/>
        <w:spacing w:line="480" w:lineRule="auto"/>
        <w:rPr>
          <w:i/>
          <w:shd w:val="clear" w:color="auto" w:fill="FFFFFF"/>
        </w:rPr>
      </w:pPr>
      <w:r w:rsidRPr="00BF0264">
        <w:rPr>
          <w:shd w:val="clear" w:color="auto" w:fill="FFFFFF"/>
        </w:rPr>
        <w:t>Merry</w:t>
      </w:r>
      <w:r w:rsidR="00612425" w:rsidRPr="00BF0264">
        <w:rPr>
          <w:shd w:val="clear" w:color="auto" w:fill="FFFFFF"/>
        </w:rPr>
        <w:t xml:space="preserve"> S (2016) </w:t>
      </w:r>
      <w:proofErr w:type="gramStart"/>
      <w:r w:rsidR="00612425" w:rsidRPr="00BF0264">
        <w:rPr>
          <w:i/>
          <w:shd w:val="clear" w:color="auto" w:fill="FFFFFF"/>
        </w:rPr>
        <w:t>The</w:t>
      </w:r>
      <w:proofErr w:type="gramEnd"/>
      <w:r w:rsidR="002C6D2D" w:rsidRPr="00BF0264">
        <w:rPr>
          <w:i/>
          <w:shd w:val="clear" w:color="auto" w:fill="FFFFFF"/>
        </w:rPr>
        <w:t xml:space="preserve"> seductions of quantification: M</w:t>
      </w:r>
      <w:r w:rsidR="00612425" w:rsidRPr="00BF0264">
        <w:rPr>
          <w:i/>
          <w:shd w:val="clear" w:color="auto" w:fill="FFFFFF"/>
        </w:rPr>
        <w:t>easuring human rights, gender violence, and sex trafficking</w:t>
      </w:r>
      <w:r w:rsidR="002C6D2D" w:rsidRPr="00BF0264">
        <w:rPr>
          <w:shd w:val="clear" w:color="auto" w:fill="FFFFFF"/>
        </w:rPr>
        <w:t>. Chicago:</w:t>
      </w:r>
      <w:r w:rsidR="00612425" w:rsidRPr="00BF0264">
        <w:rPr>
          <w:shd w:val="clear" w:color="auto" w:fill="FFFFFF"/>
        </w:rPr>
        <w:t xml:space="preserve"> University of Chicago Press. </w:t>
      </w:r>
    </w:p>
    <w:p w14:paraId="199FAAD3" w14:textId="6E7199DA" w:rsidR="00287734" w:rsidRPr="00BF0264" w:rsidRDefault="00287734" w:rsidP="00D00FFA">
      <w:pPr>
        <w:pStyle w:val="NoSpacing"/>
        <w:spacing w:line="480" w:lineRule="auto"/>
        <w:rPr>
          <w:rStyle w:val="displayfields"/>
          <w:shd w:val="clear" w:color="auto" w:fill="FFFFFF"/>
        </w:rPr>
      </w:pPr>
      <w:r w:rsidRPr="00BF0264">
        <w:rPr>
          <w:rStyle w:val="displayfields"/>
          <w:shd w:val="clear" w:color="auto" w:fill="FFFFFF"/>
        </w:rPr>
        <w:t xml:space="preserve">Morris A (2009) Gendered dynamics of abuse and violence in families: Considering the abusive household gender regime. </w:t>
      </w:r>
      <w:r w:rsidRPr="00BF0264">
        <w:rPr>
          <w:rStyle w:val="displayfields"/>
          <w:i/>
          <w:shd w:val="clear" w:color="auto" w:fill="FFFFFF"/>
        </w:rPr>
        <w:t>Child Abuse Review</w:t>
      </w:r>
      <w:r w:rsidRPr="00BF0264">
        <w:rPr>
          <w:rStyle w:val="displayfields"/>
          <w:shd w:val="clear" w:color="auto" w:fill="FFFFFF"/>
        </w:rPr>
        <w:t xml:space="preserve"> 18(6): 414-427.</w:t>
      </w:r>
    </w:p>
    <w:p w14:paraId="1D69242A" w14:textId="77777777" w:rsidR="00287734" w:rsidRPr="00BF0264" w:rsidRDefault="00287734" w:rsidP="00D00FFA">
      <w:pPr>
        <w:pStyle w:val="NoSpacing"/>
        <w:spacing w:line="480" w:lineRule="auto"/>
      </w:pPr>
      <w:r w:rsidRPr="00BF0264">
        <w:t xml:space="preserve">Myhill A (2015) Measuring coercive control: What can we learn from national population surveys? </w:t>
      </w:r>
      <w:r w:rsidRPr="00BF0264">
        <w:rPr>
          <w:i/>
        </w:rPr>
        <w:t xml:space="preserve">Violence </w:t>
      </w:r>
      <w:proofErr w:type="gramStart"/>
      <w:r w:rsidRPr="00BF0264">
        <w:rPr>
          <w:i/>
        </w:rPr>
        <w:t>Against</w:t>
      </w:r>
      <w:proofErr w:type="gramEnd"/>
      <w:r w:rsidRPr="00BF0264">
        <w:rPr>
          <w:i/>
        </w:rPr>
        <w:t xml:space="preserve"> Women</w:t>
      </w:r>
      <w:r w:rsidRPr="00BF0264">
        <w:t xml:space="preserve"> 21(3): 355-375.</w:t>
      </w:r>
    </w:p>
    <w:p w14:paraId="659D2BFB" w14:textId="77777777" w:rsidR="00287734" w:rsidRPr="00BF0264" w:rsidRDefault="00287734" w:rsidP="00D00FFA">
      <w:pPr>
        <w:pStyle w:val="NoSpacing"/>
        <w:spacing w:line="480" w:lineRule="auto"/>
      </w:pPr>
      <w:r w:rsidRPr="00BF0264">
        <w:t xml:space="preserve">Myhill A (2017) Measuring domestic violence: Context is everything. </w:t>
      </w:r>
      <w:r w:rsidRPr="00BF0264">
        <w:rPr>
          <w:i/>
        </w:rPr>
        <w:t>Journal of Gender-based Violence</w:t>
      </w:r>
      <w:r w:rsidRPr="00BF0264">
        <w:t xml:space="preserve"> 1(1): 33-44.</w:t>
      </w:r>
    </w:p>
    <w:p w14:paraId="0D461BC1" w14:textId="42EFD50B" w:rsidR="007F3956" w:rsidRPr="00BF0264" w:rsidRDefault="007F3956" w:rsidP="00D00FFA">
      <w:pPr>
        <w:pStyle w:val="NoSpacing"/>
        <w:spacing w:line="480" w:lineRule="auto"/>
      </w:pPr>
      <w:r w:rsidRPr="00BF0264">
        <w:t xml:space="preserve">Office for National Statistics (2016) </w:t>
      </w:r>
      <w:r w:rsidRPr="00BF0264">
        <w:rPr>
          <w:i/>
        </w:rPr>
        <w:t>Compendium: Intimate personal violence and partner abuse</w:t>
      </w:r>
      <w:r w:rsidRPr="00BF0264">
        <w:t>. Report, ONS, UK, February.</w:t>
      </w:r>
    </w:p>
    <w:p w14:paraId="59AD3C62" w14:textId="77777777" w:rsidR="00287734" w:rsidRPr="00BF0264" w:rsidRDefault="00287734" w:rsidP="00D00FFA">
      <w:pPr>
        <w:pStyle w:val="NoSpacing"/>
        <w:spacing w:line="480" w:lineRule="auto"/>
      </w:pPr>
      <w:proofErr w:type="spellStart"/>
      <w:r w:rsidRPr="00BF0264">
        <w:t>Okun</w:t>
      </w:r>
      <w:proofErr w:type="spellEnd"/>
      <w:r w:rsidRPr="00BF0264">
        <w:t xml:space="preserve"> L (1986) </w:t>
      </w:r>
      <w:r w:rsidRPr="00BF0264">
        <w:rPr>
          <w:i/>
        </w:rPr>
        <w:t>Woman Abuse: Facts replacing myths</w:t>
      </w:r>
      <w:r w:rsidRPr="00BF0264">
        <w:t xml:space="preserve">. Albany: State University of New York Press. </w:t>
      </w:r>
    </w:p>
    <w:p w14:paraId="65F273A2" w14:textId="77777777" w:rsidR="00287734" w:rsidRPr="00BF0264" w:rsidRDefault="00287734" w:rsidP="00D00FFA">
      <w:pPr>
        <w:pStyle w:val="NoSpacing"/>
        <w:spacing w:line="480" w:lineRule="auto"/>
      </w:pPr>
      <w:proofErr w:type="spellStart"/>
      <w:r w:rsidRPr="00BF0264">
        <w:t>Ormerod</w:t>
      </w:r>
      <w:proofErr w:type="spellEnd"/>
      <w:r w:rsidRPr="00BF0264">
        <w:t xml:space="preserve"> D and Perry D (</w:t>
      </w:r>
      <w:proofErr w:type="spellStart"/>
      <w:proofErr w:type="gramStart"/>
      <w:r w:rsidRPr="00BF0264">
        <w:t>eds</w:t>
      </w:r>
      <w:proofErr w:type="spellEnd"/>
      <w:proofErr w:type="gramEnd"/>
      <w:r w:rsidRPr="00BF0264">
        <w:t xml:space="preserve">) (2017) </w:t>
      </w:r>
      <w:r w:rsidRPr="00BF0264">
        <w:rPr>
          <w:i/>
        </w:rPr>
        <w:t>Blackstone’s Criminal Practice 2018</w:t>
      </w:r>
      <w:r w:rsidRPr="00BF0264">
        <w:t>. Oxford: Oxford University Press.</w:t>
      </w:r>
    </w:p>
    <w:p w14:paraId="214B0D9B" w14:textId="77777777" w:rsidR="00287734" w:rsidRPr="00BF0264" w:rsidRDefault="00287734" w:rsidP="00D00FFA">
      <w:pPr>
        <w:pStyle w:val="NoSpacing"/>
        <w:spacing w:line="480" w:lineRule="auto"/>
      </w:pPr>
      <w:proofErr w:type="spellStart"/>
      <w:r w:rsidRPr="00BF0264">
        <w:t>Ormerod</w:t>
      </w:r>
      <w:proofErr w:type="spellEnd"/>
      <w:r w:rsidRPr="00BF0264">
        <w:t xml:space="preserve"> D and Laird K (2018) </w:t>
      </w:r>
      <w:r w:rsidRPr="00BF0264">
        <w:rPr>
          <w:i/>
        </w:rPr>
        <w:t xml:space="preserve">Smith, Hogan and </w:t>
      </w:r>
      <w:proofErr w:type="spellStart"/>
      <w:r w:rsidRPr="00BF0264">
        <w:rPr>
          <w:i/>
        </w:rPr>
        <w:t>Ormerod’s</w:t>
      </w:r>
      <w:proofErr w:type="spellEnd"/>
      <w:r w:rsidRPr="00BF0264">
        <w:rPr>
          <w:i/>
        </w:rPr>
        <w:t xml:space="preserve"> criminal law</w:t>
      </w:r>
      <w:r w:rsidRPr="00BF0264">
        <w:t>. Oxford: Oxford University Press.</w:t>
      </w:r>
    </w:p>
    <w:p w14:paraId="5755C188" w14:textId="77777777" w:rsidR="00287734" w:rsidRPr="00BF0264" w:rsidRDefault="00287734" w:rsidP="00D00FFA">
      <w:pPr>
        <w:pStyle w:val="NoSpacing"/>
        <w:spacing w:line="480" w:lineRule="auto"/>
      </w:pPr>
      <w:r w:rsidRPr="00BF0264">
        <w:t xml:space="preserve">Pence E and </w:t>
      </w:r>
      <w:proofErr w:type="spellStart"/>
      <w:r w:rsidRPr="00BF0264">
        <w:t>Paymar</w:t>
      </w:r>
      <w:proofErr w:type="spellEnd"/>
      <w:r w:rsidRPr="00BF0264">
        <w:t xml:space="preserve"> M (1993) </w:t>
      </w:r>
      <w:r w:rsidRPr="00BF0264">
        <w:rPr>
          <w:i/>
        </w:rPr>
        <w:t>Education groups for men who batter</w:t>
      </w:r>
      <w:r w:rsidRPr="00BF0264">
        <w:t>. New York: Springer.</w:t>
      </w:r>
    </w:p>
    <w:p w14:paraId="0557D30A" w14:textId="494548FE" w:rsidR="00AD6B6B" w:rsidRPr="00BF0264" w:rsidRDefault="00AD6B6B" w:rsidP="00D00FFA">
      <w:pPr>
        <w:pStyle w:val="NoSpacing"/>
        <w:spacing w:line="480" w:lineRule="auto"/>
      </w:pPr>
      <w:r w:rsidRPr="00BF0264">
        <w:t xml:space="preserve">Rahman A (1999) Micro-credit initiatives for equitable and sustainable development: Who pays? </w:t>
      </w:r>
      <w:r w:rsidRPr="00BF0264">
        <w:rPr>
          <w:i/>
        </w:rPr>
        <w:t>World Development</w:t>
      </w:r>
      <w:r w:rsidRPr="00BF0264">
        <w:t xml:space="preserve"> 27 (1): 67-8.</w:t>
      </w:r>
    </w:p>
    <w:p w14:paraId="0FEE7086" w14:textId="77777777" w:rsidR="00287734" w:rsidRPr="00BF0264" w:rsidRDefault="00287734" w:rsidP="00D00FFA">
      <w:pPr>
        <w:pStyle w:val="NoSpacing"/>
        <w:spacing w:line="480" w:lineRule="auto"/>
      </w:pPr>
      <w:proofErr w:type="spellStart"/>
      <w:r w:rsidRPr="00BF0264">
        <w:t>Raynor</w:t>
      </w:r>
      <w:proofErr w:type="spellEnd"/>
      <w:r w:rsidRPr="00BF0264">
        <w:t xml:space="preserve"> P (2018) From ‘nothing works’ to ‘post-truth’: The rise and fall of evidence in British probation. </w:t>
      </w:r>
      <w:r w:rsidRPr="00BF0264">
        <w:rPr>
          <w:i/>
        </w:rPr>
        <w:t>European Journal of Probation</w:t>
      </w:r>
      <w:r w:rsidRPr="00BF0264">
        <w:t xml:space="preserve"> 10(1): 59-75.</w:t>
      </w:r>
    </w:p>
    <w:p w14:paraId="495F90A8" w14:textId="3ED7A87F" w:rsidR="00287734" w:rsidRPr="00BF0264" w:rsidRDefault="00287734" w:rsidP="00D00FFA">
      <w:pPr>
        <w:pStyle w:val="NoSpacing"/>
        <w:spacing w:line="480" w:lineRule="auto"/>
      </w:pPr>
      <w:r w:rsidRPr="00BF0264">
        <w:lastRenderedPageBreak/>
        <w:t xml:space="preserve">Regan L, Kelly L, Morris A and </w:t>
      </w:r>
      <w:proofErr w:type="spellStart"/>
      <w:r w:rsidRPr="00BF0264">
        <w:t>Dibb</w:t>
      </w:r>
      <w:proofErr w:type="spellEnd"/>
      <w:r w:rsidRPr="00BF0264">
        <w:t xml:space="preserve"> R (2007) </w:t>
      </w:r>
      <w:r w:rsidR="003D230C" w:rsidRPr="00BF0264">
        <w:rPr>
          <w:i/>
        </w:rPr>
        <w:t>‘If only we’d known’: A</w:t>
      </w:r>
      <w:r w:rsidRPr="00BF0264">
        <w:rPr>
          <w:i/>
        </w:rPr>
        <w:t xml:space="preserve">n exploratory study of seven intimate partner homicides in </w:t>
      </w:r>
      <w:proofErr w:type="spellStart"/>
      <w:r w:rsidRPr="00BF0264">
        <w:rPr>
          <w:i/>
        </w:rPr>
        <w:t>Engleshire</w:t>
      </w:r>
      <w:proofErr w:type="spellEnd"/>
      <w:r w:rsidRPr="00BF0264">
        <w:t>. London: London Metropolitan University Child and Woman Abuse Studies Unit.</w:t>
      </w:r>
    </w:p>
    <w:p w14:paraId="3748AE87" w14:textId="422068E1" w:rsidR="00287734" w:rsidRPr="00BF0264" w:rsidRDefault="00287734" w:rsidP="00D00FFA">
      <w:pPr>
        <w:pStyle w:val="NoSpacing"/>
        <w:spacing w:line="480" w:lineRule="auto"/>
        <w:rPr>
          <w:shd w:val="clear" w:color="auto" w:fill="FFFFFF"/>
        </w:rPr>
      </w:pPr>
      <w:r w:rsidRPr="00BF0264">
        <w:rPr>
          <w:shd w:val="clear" w:color="auto" w:fill="FFFFFF"/>
        </w:rPr>
        <w:t xml:space="preserve">Schechter S (1982) </w:t>
      </w:r>
      <w:r w:rsidRPr="00BF0264">
        <w:rPr>
          <w:i/>
          <w:shd w:val="clear" w:color="auto" w:fill="FFFFFF"/>
        </w:rPr>
        <w:t>Women and male violence: The visions and struggles of the battered women’s movement</w:t>
      </w:r>
      <w:r w:rsidRPr="00BF0264">
        <w:rPr>
          <w:shd w:val="clear" w:color="auto" w:fill="FFFFFF"/>
        </w:rPr>
        <w:t>. Boston, MA: South End Press.</w:t>
      </w:r>
    </w:p>
    <w:p w14:paraId="7A5C46AF" w14:textId="77777777" w:rsidR="00287734" w:rsidRPr="00BF0264" w:rsidRDefault="00287734" w:rsidP="00D00FFA">
      <w:pPr>
        <w:pStyle w:val="NoSpacing"/>
        <w:spacing w:line="480" w:lineRule="auto"/>
      </w:pPr>
      <w:r w:rsidRPr="00BF0264">
        <w:t>Sharp-</w:t>
      </w:r>
      <w:proofErr w:type="spellStart"/>
      <w:r w:rsidRPr="00BF0264">
        <w:t>Jeffs</w:t>
      </w:r>
      <w:proofErr w:type="spellEnd"/>
      <w:r w:rsidRPr="00BF0264">
        <w:t xml:space="preserve"> N (2017) </w:t>
      </w:r>
      <w:proofErr w:type="gramStart"/>
      <w:r w:rsidRPr="00BF0264">
        <w:rPr>
          <w:i/>
        </w:rPr>
        <w:t>Into</w:t>
      </w:r>
      <w:proofErr w:type="gramEnd"/>
      <w:r w:rsidRPr="00BF0264">
        <w:rPr>
          <w:i/>
        </w:rPr>
        <w:t xml:space="preserve"> plain sight: How economic abuse is reflected in successful prosecutions of controlling or coercive behaviour</w:t>
      </w:r>
      <w:r w:rsidRPr="00BF0264">
        <w:t>. London: Surviving Economic Abuse.</w:t>
      </w:r>
    </w:p>
    <w:p w14:paraId="41109904" w14:textId="77777777" w:rsidR="00287734" w:rsidRPr="00BF0264" w:rsidRDefault="00287734" w:rsidP="00D00FFA">
      <w:pPr>
        <w:pStyle w:val="NoSpacing"/>
        <w:spacing w:line="480" w:lineRule="auto"/>
      </w:pPr>
      <w:r w:rsidRPr="00BF0264">
        <w:t>Sharp-</w:t>
      </w:r>
      <w:proofErr w:type="spellStart"/>
      <w:r w:rsidRPr="00BF0264">
        <w:t>Jeffs</w:t>
      </w:r>
      <w:proofErr w:type="spellEnd"/>
      <w:r w:rsidRPr="00BF0264">
        <w:t xml:space="preserve"> N and Kelly L (2016) </w:t>
      </w:r>
      <w:r w:rsidRPr="00BF0264">
        <w:rPr>
          <w:i/>
        </w:rPr>
        <w:t>Domestic Homicide Review (</w:t>
      </w:r>
      <w:proofErr w:type="spellStart"/>
      <w:r w:rsidRPr="00BF0264">
        <w:rPr>
          <w:i/>
        </w:rPr>
        <w:t>DHR</w:t>
      </w:r>
      <w:proofErr w:type="spellEnd"/>
      <w:r w:rsidRPr="00BF0264">
        <w:rPr>
          <w:i/>
        </w:rPr>
        <w:t>): Case analysis</w:t>
      </w:r>
      <w:r w:rsidRPr="00BF0264">
        <w:t>. London: Standing Together/London Metropolitan University.</w:t>
      </w:r>
    </w:p>
    <w:p w14:paraId="34CB0898" w14:textId="77777777" w:rsidR="00287734" w:rsidRPr="00BF0264" w:rsidRDefault="00287734" w:rsidP="00D00FFA">
      <w:pPr>
        <w:pStyle w:val="NoSpacing"/>
        <w:spacing w:line="480" w:lineRule="auto"/>
      </w:pPr>
      <w:r w:rsidRPr="00BF0264">
        <w:t>Sharp-</w:t>
      </w:r>
      <w:proofErr w:type="spellStart"/>
      <w:r w:rsidRPr="00BF0264">
        <w:t>Jeffs</w:t>
      </w:r>
      <w:proofErr w:type="spellEnd"/>
      <w:r w:rsidRPr="00BF0264">
        <w:t xml:space="preserve"> N, Kelly L and Klein R (2018) Long journeys toward freedom: The relationship between coercive control and space for action – Measurement and emerging evidence. </w:t>
      </w:r>
      <w:r w:rsidRPr="00BF0264">
        <w:rPr>
          <w:i/>
        </w:rPr>
        <w:t xml:space="preserve">Violence </w:t>
      </w:r>
      <w:proofErr w:type="gramStart"/>
      <w:r w:rsidRPr="00BF0264">
        <w:rPr>
          <w:i/>
        </w:rPr>
        <w:t>Against</w:t>
      </w:r>
      <w:proofErr w:type="gramEnd"/>
      <w:r w:rsidRPr="00BF0264">
        <w:rPr>
          <w:i/>
        </w:rPr>
        <w:t xml:space="preserve"> Women</w:t>
      </w:r>
      <w:r w:rsidRPr="00BF0264">
        <w:t xml:space="preserve"> 24(2): 163-185.</w:t>
      </w:r>
    </w:p>
    <w:p w14:paraId="0E6C1654" w14:textId="77777777" w:rsidR="00287734" w:rsidRPr="00BF0264" w:rsidRDefault="00287734" w:rsidP="00D00FFA">
      <w:pPr>
        <w:pStyle w:val="NoSpacing"/>
        <w:spacing w:line="480" w:lineRule="auto"/>
      </w:pPr>
      <w:r w:rsidRPr="00BF0264">
        <w:t xml:space="preserve">Stark E (2007) </w:t>
      </w:r>
      <w:r w:rsidRPr="00BF0264">
        <w:rPr>
          <w:i/>
        </w:rPr>
        <w:t>Coercive control: How men entrap women in personal life</w:t>
      </w:r>
      <w:r w:rsidRPr="00BF0264">
        <w:t>. Oxford: Oxford University Press.</w:t>
      </w:r>
    </w:p>
    <w:p w14:paraId="3BD27E47" w14:textId="5DF1766F" w:rsidR="00287734" w:rsidRPr="00BF0264" w:rsidRDefault="00287734" w:rsidP="00D00FFA">
      <w:pPr>
        <w:pStyle w:val="NoSpacing"/>
        <w:spacing w:line="480" w:lineRule="auto"/>
      </w:pPr>
      <w:r w:rsidRPr="00BF0264">
        <w:t>Stark E (2017) Coercive control as a framework for responding to male partner abuse in the UK: Opportunities and challenges. In: Lombard J (</w:t>
      </w:r>
      <w:proofErr w:type="spellStart"/>
      <w:proofErr w:type="gramStart"/>
      <w:r w:rsidRPr="00BF0264">
        <w:t>ed</w:t>
      </w:r>
      <w:proofErr w:type="spellEnd"/>
      <w:proofErr w:type="gramEnd"/>
      <w:r w:rsidRPr="00BF0264">
        <w:t xml:space="preserve">) </w:t>
      </w:r>
      <w:r w:rsidRPr="00BF0264">
        <w:rPr>
          <w:i/>
        </w:rPr>
        <w:t>The Routledge Handbook of Gender and Violence</w:t>
      </w:r>
      <w:r w:rsidRPr="00BF0264">
        <w:t>. Abingdon, Oxford: Routledge, pp. 15-27.</w:t>
      </w:r>
    </w:p>
    <w:p w14:paraId="135965EE" w14:textId="6B8AD486" w:rsidR="009D30D6" w:rsidRPr="00BF0264" w:rsidRDefault="009D30D6" w:rsidP="00D00FFA">
      <w:pPr>
        <w:pStyle w:val="NoSpacing"/>
        <w:spacing w:line="480" w:lineRule="auto"/>
      </w:pPr>
      <w:r w:rsidRPr="00BF0264">
        <w:rPr>
          <w:shd w:val="clear" w:color="auto" w:fill="FFFFFF"/>
        </w:rPr>
        <w:t xml:space="preserve">Stark E and Hester M (2019) Coercive control: Update and review. </w:t>
      </w:r>
      <w:r w:rsidRPr="00BF0264">
        <w:rPr>
          <w:i/>
          <w:shd w:val="clear" w:color="auto" w:fill="FFFFFF"/>
        </w:rPr>
        <w:t xml:space="preserve">Violence </w:t>
      </w:r>
      <w:proofErr w:type="gramStart"/>
      <w:r w:rsidRPr="00BF0264">
        <w:rPr>
          <w:i/>
          <w:shd w:val="clear" w:color="auto" w:fill="FFFFFF"/>
        </w:rPr>
        <w:t>Against</w:t>
      </w:r>
      <w:proofErr w:type="gramEnd"/>
      <w:r w:rsidRPr="00BF0264">
        <w:rPr>
          <w:i/>
          <w:shd w:val="clear" w:color="auto" w:fill="FFFFFF"/>
        </w:rPr>
        <w:t xml:space="preserve"> Women</w:t>
      </w:r>
      <w:r w:rsidRPr="00BF0264">
        <w:rPr>
          <w:shd w:val="clear" w:color="auto" w:fill="FFFFFF"/>
        </w:rPr>
        <w:t xml:space="preserve"> 25(1)</w:t>
      </w:r>
      <w:r w:rsidR="002C6D2D" w:rsidRPr="00BF0264">
        <w:rPr>
          <w:shd w:val="clear" w:color="auto" w:fill="FFFFFF"/>
        </w:rPr>
        <w:t xml:space="preserve">: </w:t>
      </w:r>
      <w:r w:rsidRPr="00BF0264">
        <w:rPr>
          <w:shd w:val="clear" w:color="auto" w:fill="FFFFFF"/>
        </w:rPr>
        <w:t>81–104.</w:t>
      </w:r>
    </w:p>
    <w:p w14:paraId="15432BF5" w14:textId="77777777" w:rsidR="00287734" w:rsidRPr="00BF0264" w:rsidRDefault="00287734" w:rsidP="00D00FFA">
      <w:pPr>
        <w:pStyle w:val="NoSpacing"/>
        <w:spacing w:line="480" w:lineRule="auto"/>
      </w:pPr>
      <w:r w:rsidRPr="00BF0264">
        <w:t xml:space="preserve">Stuart G and Stuart R (2008) Expressive violence. In: </w:t>
      </w:r>
      <w:proofErr w:type="spellStart"/>
      <w:r w:rsidRPr="00BF0264">
        <w:t>Renzetti</w:t>
      </w:r>
      <w:proofErr w:type="spellEnd"/>
      <w:r w:rsidRPr="00BF0264">
        <w:t xml:space="preserve"> C and </w:t>
      </w:r>
      <w:proofErr w:type="spellStart"/>
      <w:r w:rsidRPr="00BF0264">
        <w:t>Edleson</w:t>
      </w:r>
      <w:proofErr w:type="spellEnd"/>
      <w:r w:rsidRPr="00BF0264">
        <w:t xml:space="preserve"> J (</w:t>
      </w:r>
      <w:proofErr w:type="spellStart"/>
      <w:proofErr w:type="gramStart"/>
      <w:r w:rsidRPr="00BF0264">
        <w:t>eds</w:t>
      </w:r>
      <w:proofErr w:type="spellEnd"/>
      <w:proofErr w:type="gramEnd"/>
      <w:r w:rsidRPr="00BF0264">
        <w:t xml:space="preserve">) </w:t>
      </w:r>
      <w:r w:rsidRPr="00BF0264">
        <w:rPr>
          <w:i/>
        </w:rPr>
        <w:t xml:space="preserve">The </w:t>
      </w:r>
      <w:proofErr w:type="spellStart"/>
      <w:r w:rsidRPr="00BF0264">
        <w:rPr>
          <w:i/>
        </w:rPr>
        <w:t>Encyclopedia</w:t>
      </w:r>
      <w:proofErr w:type="spellEnd"/>
      <w:r w:rsidRPr="00BF0264">
        <w:rPr>
          <w:i/>
        </w:rPr>
        <w:t xml:space="preserve"> of Interpersonal Violence</w:t>
      </w:r>
      <w:r w:rsidRPr="00BF0264">
        <w:t>. Thousand Oaks, California: Sage, pp. 231-232.</w:t>
      </w:r>
    </w:p>
    <w:p w14:paraId="4CFA1864" w14:textId="108776BB" w:rsidR="00287734" w:rsidRPr="00BF0264" w:rsidRDefault="00443D6B" w:rsidP="00D00FFA">
      <w:pPr>
        <w:pStyle w:val="NoSpacing"/>
        <w:spacing w:line="480" w:lineRule="auto"/>
      </w:pPr>
      <w:r w:rsidRPr="00BF0264">
        <w:t>Vera-</w:t>
      </w:r>
      <w:proofErr w:type="spellStart"/>
      <w:r w:rsidRPr="00BF0264">
        <w:t>Gra</w:t>
      </w:r>
      <w:r w:rsidR="004C28E6" w:rsidRPr="00BF0264">
        <w:t>y</w:t>
      </w:r>
      <w:proofErr w:type="spellEnd"/>
      <w:r w:rsidR="004C28E6" w:rsidRPr="00BF0264">
        <w:t xml:space="preserve"> F (2018</w:t>
      </w:r>
      <w:r w:rsidR="00287734" w:rsidRPr="00BF0264">
        <w:t xml:space="preserve">) </w:t>
      </w:r>
      <w:proofErr w:type="gramStart"/>
      <w:r w:rsidR="00EF2739" w:rsidRPr="00BF0264">
        <w:rPr>
          <w:i/>
        </w:rPr>
        <w:t>The</w:t>
      </w:r>
      <w:proofErr w:type="gramEnd"/>
      <w:r w:rsidR="00EF2739" w:rsidRPr="00BF0264">
        <w:rPr>
          <w:i/>
        </w:rPr>
        <w:t xml:space="preserve"> right amount of panic: How women trade freedom for safety in public</w:t>
      </w:r>
      <w:r w:rsidR="00EF2739" w:rsidRPr="00BF0264">
        <w:t>. Bristol: Policy Press.</w:t>
      </w:r>
    </w:p>
    <w:p w14:paraId="31868B9F" w14:textId="77777777" w:rsidR="00287734" w:rsidRPr="00BF0264" w:rsidRDefault="00287734" w:rsidP="00D00FFA">
      <w:pPr>
        <w:pStyle w:val="NoSpacing"/>
        <w:spacing w:line="480" w:lineRule="auto"/>
      </w:pPr>
      <w:r w:rsidRPr="00BF0264">
        <w:t xml:space="preserve">Walby S (1994) </w:t>
      </w:r>
      <w:r w:rsidRPr="00BF0264">
        <w:rPr>
          <w:i/>
        </w:rPr>
        <w:t>Theorizing patriarchy</w:t>
      </w:r>
      <w:r w:rsidRPr="00BF0264">
        <w:t>. Oxford: Blackwell.</w:t>
      </w:r>
    </w:p>
    <w:p w14:paraId="11A71DB1" w14:textId="77777777" w:rsidR="00287734" w:rsidRPr="00BF0264" w:rsidRDefault="00287734" w:rsidP="00D00FFA">
      <w:pPr>
        <w:pStyle w:val="NoSpacing"/>
        <w:spacing w:line="480" w:lineRule="auto"/>
      </w:pPr>
      <w:r w:rsidRPr="00BF0264">
        <w:t xml:space="preserve">Walby S (2005) Improving the statistics on violence against women. </w:t>
      </w:r>
      <w:r w:rsidRPr="00BF0264">
        <w:rPr>
          <w:i/>
        </w:rPr>
        <w:t>Statistical Journal of the United Nations</w:t>
      </w:r>
      <w:r w:rsidRPr="00BF0264">
        <w:t xml:space="preserve"> 22(3-4): 193-216.</w:t>
      </w:r>
    </w:p>
    <w:p w14:paraId="7BC4030E" w14:textId="4BBF1409" w:rsidR="005923CC" w:rsidRPr="00BF0264" w:rsidRDefault="005923CC" w:rsidP="00D00FFA">
      <w:pPr>
        <w:pStyle w:val="NoSpacing"/>
        <w:spacing w:line="480" w:lineRule="auto"/>
      </w:pPr>
      <w:r w:rsidRPr="00BF0264">
        <w:lastRenderedPageBreak/>
        <w:t xml:space="preserve">Walby S and Allen J (2004) </w:t>
      </w:r>
      <w:r w:rsidRPr="00BF0264">
        <w:rPr>
          <w:i/>
        </w:rPr>
        <w:t>Domestic violence, sexual assault and stalking: Findings from the British Crime Survey</w:t>
      </w:r>
      <w:r w:rsidRPr="00BF0264">
        <w:t xml:space="preserve">. </w:t>
      </w:r>
      <w:smartTag w:uri="urn:schemas-microsoft-com:office:smarttags" w:element="place">
        <w:smartTag w:uri="urn:schemas-microsoft-com:office:smarttags" w:element="City">
          <w:r w:rsidRPr="00BF0264">
            <w:t>London</w:t>
          </w:r>
        </w:smartTag>
      </w:smartTag>
      <w:r w:rsidRPr="00BF0264">
        <w:t>: Home Office.</w:t>
      </w:r>
    </w:p>
    <w:p w14:paraId="532ADB5A" w14:textId="77777777" w:rsidR="00287734" w:rsidRPr="00BF0264" w:rsidRDefault="00287734" w:rsidP="00D00FFA">
      <w:pPr>
        <w:pStyle w:val="NoSpacing"/>
        <w:spacing w:line="480" w:lineRule="auto"/>
      </w:pPr>
      <w:r w:rsidRPr="00BF0264">
        <w:t xml:space="preserve">Walby S, Towers J and Francis B (2016) Is violent crime increasing or decreasing? A new methodology to measure repeat attacks making visible the significance of gender and domestic relations. </w:t>
      </w:r>
      <w:r w:rsidRPr="00BF0264">
        <w:rPr>
          <w:i/>
        </w:rPr>
        <w:t>British Journal of Criminology</w:t>
      </w:r>
      <w:r w:rsidRPr="00BF0264">
        <w:t xml:space="preserve"> 56(1): 1203-1234.</w:t>
      </w:r>
    </w:p>
    <w:p w14:paraId="2E2DF38C" w14:textId="77777777" w:rsidR="00287734" w:rsidRPr="00BF0264" w:rsidRDefault="00287734" w:rsidP="00D00FFA">
      <w:pPr>
        <w:pStyle w:val="NoSpacing"/>
        <w:spacing w:line="480" w:lineRule="auto"/>
      </w:pPr>
      <w:r w:rsidRPr="00BF0264">
        <w:t xml:space="preserve">Walby S, Towers J … </w:t>
      </w:r>
      <w:proofErr w:type="spellStart"/>
      <w:r w:rsidRPr="00BF0264">
        <w:t>Strid</w:t>
      </w:r>
      <w:proofErr w:type="spellEnd"/>
      <w:r w:rsidRPr="00BF0264">
        <w:t xml:space="preserve"> S (2017) </w:t>
      </w:r>
      <w:r w:rsidRPr="00BF0264">
        <w:rPr>
          <w:i/>
        </w:rPr>
        <w:t>The concept and measurement of violence against women and men</w:t>
      </w:r>
      <w:r w:rsidRPr="00BF0264">
        <w:t>. Bristol: Policy Press.</w:t>
      </w:r>
    </w:p>
    <w:p w14:paraId="33E51242" w14:textId="160F5E70" w:rsidR="00287734" w:rsidRPr="00BF0264" w:rsidRDefault="00287734" w:rsidP="00D00FFA">
      <w:pPr>
        <w:pStyle w:val="NoSpacing"/>
        <w:spacing w:line="480" w:lineRule="auto"/>
      </w:pPr>
      <w:r w:rsidRPr="00BF0264">
        <w:t>Walby S and Towers J (2017) Measu</w:t>
      </w:r>
      <w:r w:rsidR="003D230C" w:rsidRPr="00BF0264">
        <w:t>ring violence to end violence: M</w:t>
      </w:r>
      <w:r w:rsidRPr="00BF0264">
        <w:t xml:space="preserve">ainstreaming gender. </w:t>
      </w:r>
      <w:r w:rsidRPr="00BF0264">
        <w:rPr>
          <w:i/>
        </w:rPr>
        <w:t>Journal of Gender-Based Violence</w:t>
      </w:r>
      <w:r w:rsidRPr="00BF0264">
        <w:t xml:space="preserve"> 1(1): 11-31.</w:t>
      </w:r>
    </w:p>
    <w:p w14:paraId="0F60E33F" w14:textId="6B578BAF" w:rsidR="00BD43C6" w:rsidRPr="00BF0264" w:rsidRDefault="00287734" w:rsidP="00D00FFA">
      <w:pPr>
        <w:pStyle w:val="NoSpacing"/>
        <w:spacing w:line="480" w:lineRule="auto"/>
      </w:pPr>
      <w:r w:rsidRPr="00BF0264">
        <w:t xml:space="preserve">Walby S and Towers J (2018) Untangling the concept of coercive control: Theorizing domestic violent crime. </w:t>
      </w:r>
      <w:r w:rsidRPr="00BF0264">
        <w:rPr>
          <w:i/>
        </w:rPr>
        <w:t>Criminology and Criminal Justice</w:t>
      </w:r>
      <w:r w:rsidRPr="00BF0264">
        <w:t xml:space="preserve"> </w:t>
      </w:r>
      <w:proofErr w:type="spellStart"/>
      <w:r w:rsidRPr="00BF0264">
        <w:t>DOI</w:t>
      </w:r>
      <w:proofErr w:type="spellEnd"/>
      <w:r w:rsidRPr="00BF0264">
        <w:t>: 10.1177/1748895817743541.</w:t>
      </w:r>
    </w:p>
    <w:sectPr w:rsidR="00BD43C6" w:rsidRPr="00BF0264">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1F6B2C" w16cid:durableId="1F6F471F"/>
  <w16cid:commentId w16cid:paraId="765F5A69" w16cid:durableId="1F6F4720"/>
  <w16cid:commentId w16cid:paraId="431C6FC5" w16cid:durableId="1F6F4721"/>
  <w16cid:commentId w16cid:paraId="34F8BBB3" w16cid:durableId="1F6F4722"/>
  <w16cid:commentId w16cid:paraId="1639106A" w16cid:durableId="1F6F5AFA"/>
  <w16cid:commentId w16cid:paraId="4545816B" w16cid:durableId="1F6F4723"/>
  <w16cid:commentId w16cid:paraId="1CE4617B" w16cid:durableId="1F6F5B3F"/>
  <w16cid:commentId w16cid:paraId="1682B2FA" w16cid:durableId="1F6F4724"/>
  <w16cid:commentId w16cid:paraId="55F4145E" w16cid:durableId="1F6F5B54"/>
  <w16cid:commentId w16cid:paraId="563F9697" w16cid:durableId="1F6F4725"/>
  <w16cid:commentId w16cid:paraId="2F18D0C7" w16cid:durableId="1F6F4726"/>
  <w16cid:commentId w16cid:paraId="427953ED" w16cid:durableId="1F6F5B85"/>
  <w16cid:commentId w16cid:paraId="5211F06D" w16cid:durableId="1F6F4727"/>
  <w16cid:commentId w16cid:paraId="46C50853" w16cid:durableId="1F6F4728"/>
  <w16cid:commentId w16cid:paraId="5031BC07" w16cid:durableId="1F6F5B9D"/>
  <w16cid:commentId w16cid:paraId="660E1F5C" w16cid:durableId="1F6F4729"/>
  <w16cid:commentId w16cid:paraId="17B3DCCA" w16cid:durableId="1F6F472A"/>
  <w16cid:commentId w16cid:paraId="411E4945" w16cid:durableId="1F6F472B"/>
  <w16cid:commentId w16cid:paraId="693A8A18" w16cid:durableId="1F6F5BB5"/>
  <w16cid:commentId w16cid:paraId="44E02938" w16cid:durableId="1F6F472C"/>
  <w16cid:commentId w16cid:paraId="6592D4A6" w16cid:durableId="1F6F5BC2"/>
  <w16cid:commentId w16cid:paraId="46425FB9" w16cid:durableId="1F6F472D"/>
  <w16cid:commentId w16cid:paraId="12841E20" w16cid:durableId="1F6F5BD2"/>
  <w16cid:commentId w16cid:paraId="3A37E71F" w16cid:durableId="1F6F472E"/>
  <w16cid:commentId w16cid:paraId="10430772" w16cid:durableId="1F6F4A12"/>
  <w16cid:commentId w16cid:paraId="700CE210" w16cid:durableId="1F6F472F"/>
  <w16cid:commentId w16cid:paraId="25C61258" w16cid:durableId="1F6F4730"/>
  <w16cid:commentId w16cid:paraId="0A1AF68B" w16cid:durableId="1F6F4A8C"/>
  <w16cid:commentId w16cid:paraId="5BA89274" w16cid:durableId="1F6F4731"/>
  <w16cid:commentId w16cid:paraId="3668F5F6" w16cid:durableId="1F6F5BFB"/>
  <w16cid:commentId w16cid:paraId="71FFA55F" w16cid:durableId="1F6F4732"/>
  <w16cid:commentId w16cid:paraId="1F21504A" w16cid:durableId="1F6F4BB3"/>
  <w16cid:commentId w16cid:paraId="38A6F3CF" w16cid:durableId="1F6F4733"/>
  <w16cid:commentId w16cid:paraId="273516D5" w16cid:durableId="1F6F4F8D"/>
  <w16cid:commentId w16cid:paraId="499CBF62" w16cid:durableId="1F6F4FFA"/>
  <w16cid:commentId w16cid:paraId="2E977FD6" w16cid:durableId="1F6F4734"/>
  <w16cid:commentId w16cid:paraId="22443788" w16cid:durableId="1F6F557A"/>
  <w16cid:commentId w16cid:paraId="79829A91" w16cid:durableId="1F6F561A"/>
  <w16cid:commentId w16cid:paraId="3ADAFC8E" w16cid:durableId="1F6F4735"/>
  <w16cid:commentId w16cid:paraId="26930D4B" w16cid:durableId="1F6F4736"/>
  <w16cid:commentId w16cid:paraId="36FCA466" w16cid:durableId="1F6F57BE"/>
  <w16cid:commentId w16cid:paraId="528E8CA7" w16cid:durableId="1F797DC1"/>
  <w16cid:commentId w16cid:paraId="297337FC" w16cid:durableId="1F797E2A"/>
  <w16cid:commentId w16cid:paraId="6B9AABD3" w16cid:durableId="1F797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B196D" w14:textId="77777777" w:rsidR="00DC6498" w:rsidRDefault="00DC6498" w:rsidP="00287734">
      <w:pPr>
        <w:spacing w:after="0" w:line="240" w:lineRule="auto"/>
      </w:pPr>
      <w:r>
        <w:separator/>
      </w:r>
    </w:p>
  </w:endnote>
  <w:endnote w:type="continuationSeparator" w:id="0">
    <w:p w14:paraId="6952D209" w14:textId="77777777" w:rsidR="00DC6498" w:rsidRDefault="00DC6498" w:rsidP="0028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848954"/>
      <w:docPartObj>
        <w:docPartGallery w:val="Page Numbers (Bottom of Page)"/>
        <w:docPartUnique/>
      </w:docPartObj>
    </w:sdtPr>
    <w:sdtEndPr>
      <w:rPr>
        <w:noProof/>
      </w:rPr>
    </w:sdtEndPr>
    <w:sdtContent>
      <w:p w14:paraId="3CFCB05F" w14:textId="5DA28D44" w:rsidR="00EE668C" w:rsidRDefault="00EE668C">
        <w:pPr>
          <w:pStyle w:val="Footer"/>
          <w:jc w:val="center"/>
        </w:pPr>
        <w:r>
          <w:fldChar w:fldCharType="begin"/>
        </w:r>
        <w:r>
          <w:instrText xml:space="preserve"> PAGE   \* MERGEFORMAT </w:instrText>
        </w:r>
        <w:r>
          <w:fldChar w:fldCharType="separate"/>
        </w:r>
        <w:r w:rsidR="0068488D">
          <w:rPr>
            <w:noProof/>
          </w:rPr>
          <w:t>20</w:t>
        </w:r>
        <w:r>
          <w:rPr>
            <w:noProof/>
          </w:rPr>
          <w:fldChar w:fldCharType="end"/>
        </w:r>
      </w:p>
    </w:sdtContent>
  </w:sdt>
  <w:p w14:paraId="1228972D" w14:textId="77777777" w:rsidR="00EE668C" w:rsidRDefault="00EE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612F6" w14:textId="77777777" w:rsidR="00DC6498" w:rsidRDefault="00DC6498" w:rsidP="00287734">
      <w:pPr>
        <w:spacing w:after="0" w:line="240" w:lineRule="auto"/>
      </w:pPr>
      <w:r>
        <w:separator/>
      </w:r>
    </w:p>
  </w:footnote>
  <w:footnote w:type="continuationSeparator" w:id="0">
    <w:p w14:paraId="75C93382" w14:textId="77777777" w:rsidR="00DC6498" w:rsidRDefault="00DC6498" w:rsidP="00287734">
      <w:pPr>
        <w:spacing w:after="0" w:line="240" w:lineRule="auto"/>
      </w:pPr>
      <w:r>
        <w:continuationSeparator/>
      </w:r>
    </w:p>
  </w:footnote>
  <w:footnote w:id="1">
    <w:p w14:paraId="3BD1DB19" w14:textId="77777777" w:rsidR="00287734" w:rsidRDefault="00287734" w:rsidP="00287734">
      <w:pPr>
        <w:pStyle w:val="FootnoteText"/>
      </w:pPr>
      <w:r>
        <w:rPr>
          <w:rStyle w:val="FootnoteReference"/>
        </w:rPr>
        <w:footnoteRef/>
      </w:r>
      <w:r>
        <w:t xml:space="preserve"> The power and control framing was documented by Domestic Abuse Intervention Programs in Duluth, Minnesota (Pence and </w:t>
      </w:r>
      <w:proofErr w:type="spellStart"/>
      <w:r>
        <w:t>Paymar</w:t>
      </w:r>
      <w:proofErr w:type="spellEnd"/>
      <w:r>
        <w:t>, 1993). The ‘Duluth model’ has indisputably been a world travelling concept influencing policy and practice and informing professional training in countless countries.</w:t>
      </w:r>
    </w:p>
  </w:footnote>
  <w:footnote w:id="2">
    <w:p w14:paraId="343543A5" w14:textId="66E500CF" w:rsidR="00287734" w:rsidRDefault="00287734" w:rsidP="00287734">
      <w:pPr>
        <w:pStyle w:val="FootnoteText"/>
      </w:pPr>
      <w:r>
        <w:rPr>
          <w:rStyle w:val="FootnoteReference"/>
        </w:rPr>
        <w:footnoteRef/>
      </w:r>
      <w:r>
        <w:t xml:space="preserve"> We are grateful to Professor Vanessa Bettinson of De Montfort University for advice relating to this section</w:t>
      </w:r>
      <w:r w:rsidR="00F85F54">
        <w:t>.</w:t>
      </w:r>
    </w:p>
  </w:footnote>
  <w:footnote w:id="3">
    <w:p w14:paraId="2555C5E0" w14:textId="49AA4F88" w:rsidR="00BF417A" w:rsidRDefault="00BF417A">
      <w:pPr>
        <w:pStyle w:val="FootnoteText"/>
      </w:pPr>
      <w:r>
        <w:rPr>
          <w:rStyle w:val="FootnoteReference"/>
        </w:rPr>
        <w:footnoteRef/>
      </w:r>
      <w:r>
        <w:t xml:space="preserve"> The first author has direct experience of </w:t>
      </w:r>
      <w:proofErr w:type="spellStart"/>
      <w:r>
        <w:t>CSEW</w:t>
      </w:r>
      <w:proofErr w:type="spellEnd"/>
      <w:r>
        <w:t xml:space="preserve"> coding.</w:t>
      </w:r>
    </w:p>
  </w:footnote>
  <w:footnote w:id="4">
    <w:p w14:paraId="7A70EE13" w14:textId="11EADC9E" w:rsidR="00287734" w:rsidRDefault="00287734" w:rsidP="00287734">
      <w:pPr>
        <w:pStyle w:val="FootnoteText"/>
      </w:pPr>
      <w:r>
        <w:rPr>
          <w:rStyle w:val="FootnoteReference"/>
        </w:rPr>
        <w:footnoteRef/>
      </w:r>
      <w:r>
        <w:t xml:space="preserve"> Based on discussions held at th</w:t>
      </w:r>
      <w:r w:rsidR="008E4218">
        <w:t>e ONS</w:t>
      </w:r>
      <w:r>
        <w:t xml:space="preserve"> </w:t>
      </w:r>
      <w:r w:rsidRPr="000A4683">
        <w:t>Domestic Abuse Statistics Steering Group</w:t>
      </w:r>
      <w:r w:rsidR="00624675">
        <w:t>, of which the first</w:t>
      </w:r>
      <w:r>
        <w:t xml:space="preserve"> author is a member.</w:t>
      </w:r>
    </w:p>
  </w:footnote>
  <w:footnote w:id="5">
    <w:p w14:paraId="1806111C" w14:textId="0A936771" w:rsidR="00624675" w:rsidRDefault="00624675">
      <w:pPr>
        <w:pStyle w:val="FootnoteText"/>
      </w:pPr>
      <w:r>
        <w:rPr>
          <w:rStyle w:val="FootnoteReference"/>
        </w:rPr>
        <w:footnoteRef/>
      </w:r>
      <w:r>
        <w:t xml:space="preserve"> </w:t>
      </w:r>
      <w:hyperlink r:id="rId1" w:history="1">
        <w:r w:rsidRPr="00AD4571">
          <w:rPr>
            <w:rStyle w:val="Hyperlink"/>
          </w:rPr>
          <w:t>https://www.gov.uk/government/publications/counting-rules-for-recorded-crime</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34"/>
    <w:rsid w:val="00072BE0"/>
    <w:rsid w:val="00073F15"/>
    <w:rsid w:val="00075A72"/>
    <w:rsid w:val="00075BDA"/>
    <w:rsid w:val="000A5C0F"/>
    <w:rsid w:val="000A6515"/>
    <w:rsid w:val="000A794C"/>
    <w:rsid w:val="000D2878"/>
    <w:rsid w:val="000F4A93"/>
    <w:rsid w:val="00102790"/>
    <w:rsid w:val="00112EE4"/>
    <w:rsid w:val="001312C9"/>
    <w:rsid w:val="00141BD1"/>
    <w:rsid w:val="0014753A"/>
    <w:rsid w:val="00147E36"/>
    <w:rsid w:val="00152BF4"/>
    <w:rsid w:val="00162F98"/>
    <w:rsid w:val="00167C8C"/>
    <w:rsid w:val="00175328"/>
    <w:rsid w:val="00186C27"/>
    <w:rsid w:val="00194469"/>
    <w:rsid w:val="001A4AAF"/>
    <w:rsid w:val="001B70D8"/>
    <w:rsid w:val="00213BE6"/>
    <w:rsid w:val="00243FEF"/>
    <w:rsid w:val="00253351"/>
    <w:rsid w:val="00277BE2"/>
    <w:rsid w:val="00287734"/>
    <w:rsid w:val="00295F52"/>
    <w:rsid w:val="002A1544"/>
    <w:rsid w:val="002A4EAF"/>
    <w:rsid w:val="002C3B81"/>
    <w:rsid w:val="002C6D2D"/>
    <w:rsid w:val="002E3B31"/>
    <w:rsid w:val="002F3E58"/>
    <w:rsid w:val="00307143"/>
    <w:rsid w:val="003112B4"/>
    <w:rsid w:val="00340DCA"/>
    <w:rsid w:val="003B695D"/>
    <w:rsid w:val="003D230C"/>
    <w:rsid w:val="003D7050"/>
    <w:rsid w:val="00443D6B"/>
    <w:rsid w:val="00463BAA"/>
    <w:rsid w:val="00474184"/>
    <w:rsid w:val="00480111"/>
    <w:rsid w:val="004C28E6"/>
    <w:rsid w:val="004C4704"/>
    <w:rsid w:val="005338FB"/>
    <w:rsid w:val="0054122B"/>
    <w:rsid w:val="005412B5"/>
    <w:rsid w:val="00562068"/>
    <w:rsid w:val="00566D2B"/>
    <w:rsid w:val="005923CC"/>
    <w:rsid w:val="005B2B16"/>
    <w:rsid w:val="005D07AD"/>
    <w:rsid w:val="005E03A1"/>
    <w:rsid w:val="005F31FC"/>
    <w:rsid w:val="005F4D49"/>
    <w:rsid w:val="00612425"/>
    <w:rsid w:val="00612E53"/>
    <w:rsid w:val="00624675"/>
    <w:rsid w:val="00631D8E"/>
    <w:rsid w:val="006427DA"/>
    <w:rsid w:val="006464F9"/>
    <w:rsid w:val="006624B4"/>
    <w:rsid w:val="006802D0"/>
    <w:rsid w:val="0068488D"/>
    <w:rsid w:val="006C0054"/>
    <w:rsid w:val="006D3AAD"/>
    <w:rsid w:val="006E7B11"/>
    <w:rsid w:val="0070047F"/>
    <w:rsid w:val="007079CE"/>
    <w:rsid w:val="0071254C"/>
    <w:rsid w:val="007403F1"/>
    <w:rsid w:val="007471E7"/>
    <w:rsid w:val="007D3A7F"/>
    <w:rsid w:val="007E1C11"/>
    <w:rsid w:val="007F3956"/>
    <w:rsid w:val="008014B4"/>
    <w:rsid w:val="00804B9B"/>
    <w:rsid w:val="00843730"/>
    <w:rsid w:val="00867C16"/>
    <w:rsid w:val="00891CDE"/>
    <w:rsid w:val="008A6F69"/>
    <w:rsid w:val="008B4760"/>
    <w:rsid w:val="008C2B62"/>
    <w:rsid w:val="008D12E2"/>
    <w:rsid w:val="008E4218"/>
    <w:rsid w:val="00942A4A"/>
    <w:rsid w:val="00946F1C"/>
    <w:rsid w:val="00955CA2"/>
    <w:rsid w:val="00966B4A"/>
    <w:rsid w:val="00974642"/>
    <w:rsid w:val="0098286C"/>
    <w:rsid w:val="00983CF6"/>
    <w:rsid w:val="00990FAB"/>
    <w:rsid w:val="00995920"/>
    <w:rsid w:val="009D30D6"/>
    <w:rsid w:val="009F35B8"/>
    <w:rsid w:val="00A2416D"/>
    <w:rsid w:val="00A43348"/>
    <w:rsid w:val="00A67B96"/>
    <w:rsid w:val="00AB1F4A"/>
    <w:rsid w:val="00AB5CFD"/>
    <w:rsid w:val="00AD6B6B"/>
    <w:rsid w:val="00B371B9"/>
    <w:rsid w:val="00B53D10"/>
    <w:rsid w:val="00B57B1C"/>
    <w:rsid w:val="00B60AB1"/>
    <w:rsid w:val="00B82CDF"/>
    <w:rsid w:val="00B906E9"/>
    <w:rsid w:val="00B96671"/>
    <w:rsid w:val="00BD3464"/>
    <w:rsid w:val="00BD43C6"/>
    <w:rsid w:val="00BE725E"/>
    <w:rsid w:val="00BF0264"/>
    <w:rsid w:val="00BF417A"/>
    <w:rsid w:val="00C065FC"/>
    <w:rsid w:val="00C34670"/>
    <w:rsid w:val="00C43DBE"/>
    <w:rsid w:val="00C552D1"/>
    <w:rsid w:val="00C7402F"/>
    <w:rsid w:val="00CE1F7C"/>
    <w:rsid w:val="00CE7C18"/>
    <w:rsid w:val="00CF0228"/>
    <w:rsid w:val="00D00FFA"/>
    <w:rsid w:val="00D15FBE"/>
    <w:rsid w:val="00D329B0"/>
    <w:rsid w:val="00D35C4F"/>
    <w:rsid w:val="00D85CF0"/>
    <w:rsid w:val="00DB004D"/>
    <w:rsid w:val="00DC6498"/>
    <w:rsid w:val="00DD2D70"/>
    <w:rsid w:val="00DE01C3"/>
    <w:rsid w:val="00E23038"/>
    <w:rsid w:val="00E24E8F"/>
    <w:rsid w:val="00E274E1"/>
    <w:rsid w:val="00E456D3"/>
    <w:rsid w:val="00EB34EB"/>
    <w:rsid w:val="00EC2ACC"/>
    <w:rsid w:val="00EE668C"/>
    <w:rsid w:val="00EF2739"/>
    <w:rsid w:val="00F11602"/>
    <w:rsid w:val="00F30D35"/>
    <w:rsid w:val="00F56CC3"/>
    <w:rsid w:val="00F7098D"/>
    <w:rsid w:val="00F736B1"/>
    <w:rsid w:val="00F8512B"/>
    <w:rsid w:val="00F85F54"/>
    <w:rsid w:val="00F93442"/>
    <w:rsid w:val="00F96A4E"/>
    <w:rsid w:val="00FB3A77"/>
    <w:rsid w:val="00FF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F0B8959"/>
  <w15:chartTrackingRefBased/>
  <w15:docId w15:val="{6192C4BC-8BBD-4D08-A3FA-731B0FB0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34"/>
  </w:style>
  <w:style w:type="paragraph" w:styleId="Heading1">
    <w:name w:val="heading 1"/>
    <w:basedOn w:val="Normal"/>
    <w:link w:val="Heading1Char"/>
    <w:uiPriority w:val="9"/>
    <w:qFormat/>
    <w:rsid w:val="002877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2877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28773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3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7734"/>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287734"/>
    <w:rPr>
      <w:rFonts w:asciiTheme="majorHAnsi" w:eastAsiaTheme="majorEastAsia" w:hAnsiTheme="majorHAnsi" w:cstheme="majorBidi"/>
      <w:color w:val="2E74B5" w:themeColor="accent1" w:themeShade="BF"/>
    </w:rPr>
  </w:style>
  <w:style w:type="paragraph" w:styleId="NoSpacing">
    <w:name w:val="No Spacing"/>
    <w:uiPriority w:val="1"/>
    <w:qFormat/>
    <w:rsid w:val="00287734"/>
    <w:pPr>
      <w:spacing w:after="0" w:line="240" w:lineRule="auto"/>
    </w:pPr>
  </w:style>
  <w:style w:type="character" w:styleId="Hyperlink">
    <w:name w:val="Hyperlink"/>
    <w:basedOn w:val="DefaultParagraphFont"/>
    <w:uiPriority w:val="99"/>
    <w:unhideWhenUsed/>
    <w:rsid w:val="00287734"/>
    <w:rPr>
      <w:color w:val="0563C1" w:themeColor="hyperlink"/>
      <w:u w:val="single"/>
    </w:rPr>
  </w:style>
  <w:style w:type="character" w:styleId="CommentReference">
    <w:name w:val="annotation reference"/>
    <w:basedOn w:val="DefaultParagraphFont"/>
    <w:uiPriority w:val="99"/>
    <w:semiHidden/>
    <w:unhideWhenUsed/>
    <w:rsid w:val="00287734"/>
    <w:rPr>
      <w:sz w:val="16"/>
      <w:szCs w:val="16"/>
    </w:rPr>
  </w:style>
  <w:style w:type="paragraph" w:styleId="CommentText">
    <w:name w:val="annotation text"/>
    <w:basedOn w:val="Normal"/>
    <w:link w:val="CommentTextChar"/>
    <w:uiPriority w:val="99"/>
    <w:semiHidden/>
    <w:unhideWhenUsed/>
    <w:rsid w:val="00287734"/>
    <w:pPr>
      <w:spacing w:line="240" w:lineRule="auto"/>
    </w:pPr>
    <w:rPr>
      <w:sz w:val="20"/>
      <w:szCs w:val="20"/>
    </w:rPr>
  </w:style>
  <w:style w:type="character" w:customStyle="1" w:styleId="CommentTextChar">
    <w:name w:val="Comment Text Char"/>
    <w:basedOn w:val="DefaultParagraphFont"/>
    <w:link w:val="CommentText"/>
    <w:uiPriority w:val="99"/>
    <w:semiHidden/>
    <w:rsid w:val="00287734"/>
    <w:rPr>
      <w:sz w:val="20"/>
      <w:szCs w:val="20"/>
    </w:rPr>
  </w:style>
  <w:style w:type="paragraph" w:styleId="CommentSubject">
    <w:name w:val="annotation subject"/>
    <w:basedOn w:val="CommentText"/>
    <w:next w:val="CommentText"/>
    <w:link w:val="CommentSubjectChar"/>
    <w:uiPriority w:val="99"/>
    <w:semiHidden/>
    <w:unhideWhenUsed/>
    <w:rsid w:val="00287734"/>
    <w:rPr>
      <w:b/>
      <w:bCs/>
    </w:rPr>
  </w:style>
  <w:style w:type="character" w:customStyle="1" w:styleId="CommentSubjectChar">
    <w:name w:val="Comment Subject Char"/>
    <w:basedOn w:val="CommentTextChar"/>
    <w:link w:val="CommentSubject"/>
    <w:uiPriority w:val="99"/>
    <w:semiHidden/>
    <w:rsid w:val="00287734"/>
    <w:rPr>
      <w:b/>
      <w:bCs/>
      <w:sz w:val="20"/>
      <w:szCs w:val="20"/>
    </w:rPr>
  </w:style>
  <w:style w:type="paragraph" w:styleId="BalloonText">
    <w:name w:val="Balloon Text"/>
    <w:basedOn w:val="Normal"/>
    <w:link w:val="BalloonTextChar"/>
    <w:uiPriority w:val="99"/>
    <w:semiHidden/>
    <w:unhideWhenUsed/>
    <w:rsid w:val="0028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34"/>
    <w:rPr>
      <w:rFonts w:ascii="Segoe UI" w:hAnsi="Segoe UI" w:cs="Segoe UI"/>
      <w:sz w:val="18"/>
      <w:szCs w:val="18"/>
    </w:rPr>
  </w:style>
  <w:style w:type="paragraph" w:styleId="Header">
    <w:name w:val="header"/>
    <w:basedOn w:val="Normal"/>
    <w:link w:val="HeaderChar"/>
    <w:uiPriority w:val="99"/>
    <w:unhideWhenUsed/>
    <w:rsid w:val="00287734"/>
    <w:pPr>
      <w:tabs>
        <w:tab w:val="center" w:pos="4513"/>
        <w:tab w:val="right" w:pos="9026"/>
      </w:tabs>
      <w:spacing w:after="0" w:line="240" w:lineRule="auto"/>
    </w:pPr>
    <w:rPr>
      <w:rFonts w:ascii="Arial" w:eastAsia="SimSun" w:hAnsi="Arial"/>
      <w:lang w:val="en-US" w:eastAsia="ja-JP"/>
    </w:rPr>
  </w:style>
  <w:style w:type="character" w:customStyle="1" w:styleId="HeaderChar">
    <w:name w:val="Header Char"/>
    <w:basedOn w:val="DefaultParagraphFont"/>
    <w:link w:val="Header"/>
    <w:uiPriority w:val="99"/>
    <w:rsid w:val="00287734"/>
    <w:rPr>
      <w:rFonts w:ascii="Arial" w:eastAsia="SimSun" w:hAnsi="Arial"/>
      <w:lang w:val="en-US" w:eastAsia="ja-JP"/>
    </w:rPr>
  </w:style>
  <w:style w:type="paragraph" w:styleId="FootnoteText">
    <w:name w:val="footnote text"/>
    <w:basedOn w:val="Normal"/>
    <w:link w:val="FootnoteTextChar"/>
    <w:uiPriority w:val="99"/>
    <w:semiHidden/>
    <w:unhideWhenUsed/>
    <w:rsid w:val="002877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734"/>
    <w:rPr>
      <w:sz w:val="20"/>
      <w:szCs w:val="20"/>
    </w:rPr>
  </w:style>
  <w:style w:type="character" w:styleId="FootnoteReference">
    <w:name w:val="footnote reference"/>
    <w:basedOn w:val="DefaultParagraphFont"/>
    <w:uiPriority w:val="99"/>
    <w:semiHidden/>
    <w:unhideWhenUsed/>
    <w:rsid w:val="00287734"/>
    <w:rPr>
      <w:vertAlign w:val="superscript"/>
    </w:rPr>
  </w:style>
  <w:style w:type="character" w:customStyle="1" w:styleId="displayfields">
    <w:name w:val="displayfields"/>
    <w:basedOn w:val="DefaultParagraphFont"/>
    <w:rsid w:val="00287734"/>
  </w:style>
  <w:style w:type="character" w:customStyle="1" w:styleId="Subtitle1">
    <w:name w:val="Subtitle1"/>
    <w:basedOn w:val="DefaultParagraphFont"/>
    <w:rsid w:val="00287734"/>
  </w:style>
  <w:style w:type="character" w:customStyle="1" w:styleId="organisation">
    <w:name w:val="organisation"/>
    <w:basedOn w:val="DefaultParagraphFont"/>
    <w:rsid w:val="00287734"/>
  </w:style>
  <w:style w:type="character" w:customStyle="1" w:styleId="italiclabel">
    <w:name w:val="italiclabel"/>
    <w:basedOn w:val="DefaultParagraphFont"/>
    <w:rsid w:val="00287734"/>
  </w:style>
  <w:style w:type="character" w:customStyle="1" w:styleId="displayfieldsbold">
    <w:name w:val="displayfieldsbold"/>
    <w:basedOn w:val="DefaultParagraphFont"/>
    <w:rsid w:val="00287734"/>
  </w:style>
  <w:style w:type="character" w:customStyle="1" w:styleId="contribdegrees">
    <w:name w:val="contribdegrees"/>
    <w:basedOn w:val="DefaultParagraphFont"/>
    <w:rsid w:val="00287734"/>
  </w:style>
  <w:style w:type="paragraph" w:styleId="Footer">
    <w:name w:val="footer"/>
    <w:basedOn w:val="Normal"/>
    <w:link w:val="FooterChar"/>
    <w:uiPriority w:val="99"/>
    <w:unhideWhenUsed/>
    <w:rsid w:val="00287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34"/>
  </w:style>
  <w:style w:type="character" w:styleId="Strong">
    <w:name w:val="Strong"/>
    <w:basedOn w:val="DefaultParagraphFont"/>
    <w:uiPriority w:val="22"/>
    <w:qFormat/>
    <w:rsid w:val="00612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elly@londonmet.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y.myhill@college.pnn.police.uk"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dp.springer.com/authorize/casa?redirect_uri=https://link.springer.com/article/10.1057/fr.2015.52&amp;casa_token=pOM5ZeAULRwAAAAA:ePCwyxCp1ncN5Q2kKF1W9uIQX3MdbgdHAZN3NXg1RD7zZo2IAx0O8MuRZN3KJ5lFfQGFxm3rMuOrylXL" TargetMode="External"/><Relationship Id="rId4" Type="http://schemas.openxmlformats.org/officeDocument/2006/relationships/webSettings" Target="webSettings.xml"/><Relationship Id="rId9" Type="http://schemas.openxmlformats.org/officeDocument/2006/relationships/hyperlink" Target="https://fernwoodpublishing.ca/book/reclaiming-sel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ounting-rules-for-recorded-c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359C-93FD-459F-84A0-E8C761FB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8082</Words>
  <Characters>46069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The College of Policing</Company>
  <LinksUpToDate>false</LinksUpToDate>
  <CharactersWithSpaces>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Myhill</dc:creator>
  <cp:keywords/>
  <dc:description/>
  <cp:lastModifiedBy>Andy Myhill</cp:lastModifiedBy>
  <cp:revision>3</cp:revision>
  <cp:lastPrinted>2019-04-01T08:48:00Z</cp:lastPrinted>
  <dcterms:created xsi:type="dcterms:W3CDTF">2019-06-17T08:46:00Z</dcterms:created>
  <dcterms:modified xsi:type="dcterms:W3CDTF">2019-06-17T09:13:00Z</dcterms:modified>
</cp:coreProperties>
</file>